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567" w:right="-705"/>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PROIECT</w:t>
      </w:r>
    </w:p>
    <w:p w:rsidR="00000000" w:rsidDel="00000000" w:rsidP="00000000" w:rsidRDefault="00000000" w:rsidRPr="00000000" w14:paraId="00000002">
      <w:pPr>
        <w:spacing w:line="360" w:lineRule="auto"/>
        <w:ind w:left="-567" w:right="-705"/>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spacing w:line="360" w:lineRule="auto"/>
        <w:ind w:left="-567" w:right="-705"/>
        <w:jc w:val="center"/>
        <w:rPr>
          <w:rFonts w:ascii="Times New Roman" w:cs="Times New Roman" w:eastAsia="Times New Roman" w:hAnsi="Times New Roman"/>
          <w:b w:val="1"/>
          <w:strike w:val="1"/>
          <w:sz w:val="28"/>
          <w:szCs w:val="28"/>
        </w:rPr>
      </w:pPr>
      <w:r w:rsidDel="00000000" w:rsidR="00000000" w:rsidRPr="00000000">
        <w:rPr>
          <w:rFonts w:ascii="Times New Roman" w:cs="Times New Roman" w:eastAsia="Times New Roman" w:hAnsi="Times New Roman"/>
          <w:b w:val="1"/>
          <w:sz w:val="28"/>
          <w:szCs w:val="28"/>
          <w:rtl w:val="0"/>
        </w:rPr>
        <w:t xml:space="preserve">ACORD POLITIC NAȚIONAL                                                                                                     pentru consolidarea parcursului european al României</w:t>
      </w:r>
      <w:r w:rsidDel="00000000" w:rsidR="00000000" w:rsidRPr="00000000">
        <w:rPr>
          <w:rtl w:val="0"/>
        </w:rPr>
      </w:r>
    </w:p>
    <w:p w:rsidR="00000000" w:rsidDel="00000000" w:rsidP="00000000" w:rsidRDefault="00000000" w:rsidRPr="00000000" w14:paraId="00000004">
      <w:pPr>
        <w:spacing w:line="360" w:lineRule="auto"/>
        <w:ind w:left="-567" w:right="-705"/>
        <w:jc w:val="both"/>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05">
      <w:pPr>
        <w:spacing w:line="360" w:lineRule="auto"/>
        <w:ind w:left="-567" w:right="-705"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România este o democrație vie și vibrantă, în care cetățenii sunt activ dedicați apărării libertății, păstrării și respectării regulilor și principiilor unui stat de drept autentic, precum și continuării luptei împotriva corupției;</w:t>
      </w:r>
    </w:p>
    <w:p w:rsidR="00000000" w:rsidDel="00000000" w:rsidP="00000000" w:rsidRDefault="00000000" w:rsidRPr="00000000" w14:paraId="00000006">
      <w:pPr>
        <w:spacing w:line="360" w:lineRule="auto"/>
        <w:ind w:left="-567" w:right="-705"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Românii își doresc aprofundarea integrării în Uniunea Europeană, așa cum demonstrează cu claritate rezultatele votului din data de 26 mai 2019;</w:t>
      </w:r>
    </w:p>
    <w:p w:rsidR="00000000" w:rsidDel="00000000" w:rsidP="00000000" w:rsidRDefault="00000000" w:rsidRPr="00000000" w14:paraId="00000007">
      <w:pPr>
        <w:spacing w:line="360" w:lineRule="auto"/>
        <w:ind w:left="-567" w:right="-705"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România rămâne profund atașată principiilor și valorilor europene. Nu există altă opțiune pentru țara noastră decât aceea a consolidării democrației și a statului de drept. Un stat de drept slăbit, fără o justiție independentă și cu instituții ale căror atribuții în combaterea corupției sunt amputate, fără respectarea principiului cooperării loiale și constructive între instituțiile statului înseamnă, de fapt, mai puțină prosperitate și securitate pentru cetățeni și o frână în dezvoltarea României; </w:t>
      </w:r>
    </w:p>
    <w:p w:rsidR="00000000" w:rsidDel="00000000" w:rsidP="00000000" w:rsidRDefault="00000000" w:rsidRPr="00000000" w14:paraId="00000008">
      <w:pPr>
        <w:spacing w:line="360" w:lineRule="auto"/>
        <w:ind w:left="-567" w:right="-705"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Într-un stat de drept veritabil, într-o democrație consolidată, așa cum își doresc românii să fie țara lor, amendarea cadrului legislativ trebuie realizată prin respectarea unor cerințe esențiale precum transparența, predictibilitatea, realizarea unor ample consultări cu profesioniștii și instituțiile direct vizate și, în primul rând, consensul social.</w:t>
      </w:r>
    </w:p>
    <w:p w:rsidR="00000000" w:rsidDel="00000000" w:rsidP="00000000" w:rsidRDefault="00000000" w:rsidRPr="00000000" w14:paraId="00000009">
      <w:pPr>
        <w:spacing w:line="360" w:lineRule="auto"/>
        <w:ind w:left="-567" w:right="-705"/>
        <w:jc w:val="both"/>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0A">
      <w:pPr>
        <w:spacing w:line="360" w:lineRule="auto"/>
        <w:ind w:left="-567" w:right="-70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Având în vedere că: </w:t>
      </w:r>
    </w:p>
    <w:p w:rsidR="00000000" w:rsidDel="00000000" w:rsidP="00000000" w:rsidRDefault="00000000" w:rsidRPr="00000000" w14:paraId="0000000B">
      <w:pPr>
        <w:spacing w:line="360" w:lineRule="auto"/>
        <w:ind w:left="-567" w:right="-705"/>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567" w:right="-705" w:hanging="426.000000000000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independența judecătorilor și procurorilor și eliminarea oricăror ingerințe politice în actul de justiție reprezintă fundamentul unui stat de drept, iar de la acest principiu nu se poate abdica,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67" w:right="-705" w:hanging="357"/>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este obligatorie eliminarea oricăror influențe ale factorului politic în activitatea judiciară sau în gestionarea carierei magistraților și excluderea oricărei posibilități a autorităților executive de a interveni asupra activității lor de natură jurisdicțională,</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67" w:right="-705" w:hanging="360.000000000000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progresele României în consolidarea independenței sistemului judiciar, a luptei anticorupție și a asigurării unei funcționări eficiente a sistemului judiciar trebuie să continue,</w:t>
      </w:r>
    </w:p>
    <w:p w:rsidR="00000000" w:rsidDel="00000000" w:rsidP="00000000" w:rsidRDefault="00000000" w:rsidRPr="00000000" w14:paraId="0000000F">
      <w:pPr>
        <w:spacing w:line="360" w:lineRule="auto"/>
        <w:ind w:left="-567" w:right="-70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spacing w:line="360" w:lineRule="auto"/>
        <w:ind w:left="-567" w:right="-705"/>
        <w:jc w:val="both"/>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Ținând cont de:</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67" w:right="-705" w:hanging="360.000000000000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voința suverană a cetățenilor români în favoarea statului de drept și împotriva modificărilor de natură să afecteze independența sistemului judiciar, exprimată ferm  și fără echivoc la referendumul național din data de 26 mai 2019,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67" w:right="-705" w:hanging="360.000000000000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statutul României de țară membră a Uniunii Europene și de angajamentele asumate în acest sens, inclusiv din perspectiva respectării principiilor și a valorilor fundamentale ce stau la baza Uniunii Europene,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67" w:right="-705" w:hanging="360.000000000000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recomandările Comisiei Europene din rapoartele privind Mecanismul de Cooperare și Verificare în domeniul justiției și luptei împotriva corupției, ale Comisiei de la Veneția și ale GRECO,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67" w:right="-705" w:hanging="360.000000000000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solicitările asociațiilor din sistemul judiciar și ale organizațiilor civice,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67" w:right="-705" w:hanging="719.9999999999999"/>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6">
      <w:pPr>
        <w:spacing w:line="360" w:lineRule="auto"/>
        <w:ind w:left="-567" w:right="-705" w:firstLine="72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highlight w:val="white"/>
          <w:rtl w:val="0"/>
        </w:rPr>
        <w:t xml:space="preserve">NOI, semnatarii acestui acord politic național, </w:t>
      </w:r>
      <w:r w:rsidDel="00000000" w:rsidR="00000000" w:rsidRPr="00000000">
        <w:rPr>
          <w:rFonts w:ascii="Times New Roman" w:cs="Times New Roman" w:eastAsia="Times New Roman" w:hAnsi="Times New Roman"/>
          <w:b w:val="1"/>
          <w:i w:val="1"/>
          <w:sz w:val="28"/>
          <w:szCs w:val="28"/>
          <w:rtl w:val="0"/>
        </w:rPr>
        <w:t xml:space="preserve">ne angajăm ca toate acțiunile noastre să fie îndreptate în direcția respectării pe deplin a principiilor, valorilor europene, a drepturilor și libertăților fundamentale ale cetățenilor, a democrației și a statului de drept, a interesului public al cetățenilor, care sunt singura sursă legitimă a puterii democratice. Numai astfel vom putea asigura prosperitatea, siguranța și bunăstarea cetățenilor noștri. Apărarea acestor drepturi și valori va fi o prioritate absolută pentru noi. </w:t>
      </w:r>
    </w:p>
    <w:p w:rsidR="00000000" w:rsidDel="00000000" w:rsidP="00000000" w:rsidRDefault="00000000" w:rsidRPr="00000000" w14:paraId="00000017">
      <w:pPr>
        <w:spacing w:line="360" w:lineRule="auto"/>
        <w:ind w:left="-567" w:right="-705" w:firstLine="720"/>
        <w:jc w:val="both"/>
        <w:rPr>
          <w:rFonts w:ascii="Times New Roman" w:cs="Times New Roman" w:eastAsia="Times New Roman" w:hAnsi="Times New Roman"/>
          <w:b w:val="1"/>
          <w:i w:val="1"/>
          <w:sz w:val="16"/>
          <w:szCs w:val="16"/>
        </w:rPr>
      </w:pPr>
      <w:r w:rsidDel="00000000" w:rsidR="00000000" w:rsidRPr="00000000">
        <w:rPr>
          <w:rtl w:val="0"/>
        </w:rPr>
      </w:r>
    </w:p>
    <w:p w:rsidR="00000000" w:rsidDel="00000000" w:rsidP="00000000" w:rsidRDefault="00000000" w:rsidRPr="00000000" w14:paraId="00000018">
      <w:pPr>
        <w:spacing w:line="360" w:lineRule="auto"/>
        <w:ind w:left="-567" w:right="-705" w:firstLine="720"/>
        <w:jc w:val="both"/>
        <w:rPr>
          <w:rFonts w:ascii="Times New Roman" w:cs="Times New Roman" w:eastAsia="Times New Roman" w:hAnsi="Times New Roman"/>
          <w:b w:val="1"/>
          <w:i w:val="1"/>
          <w:sz w:val="28"/>
          <w:szCs w:val="28"/>
          <w:highlight w:val="white"/>
        </w:rPr>
      </w:pPr>
      <w:r w:rsidDel="00000000" w:rsidR="00000000" w:rsidRPr="00000000">
        <w:rPr>
          <w:rFonts w:ascii="Times New Roman" w:cs="Times New Roman" w:eastAsia="Times New Roman" w:hAnsi="Times New Roman"/>
          <w:b w:val="1"/>
          <w:i w:val="1"/>
          <w:sz w:val="28"/>
          <w:szCs w:val="28"/>
          <w:rtl w:val="0"/>
        </w:rPr>
        <w:t xml:space="preserve">În acest sens</w:t>
      </w:r>
      <w:r w:rsidDel="00000000" w:rsidR="00000000" w:rsidRPr="00000000">
        <w:rPr>
          <w:rFonts w:ascii="Times New Roman" w:cs="Times New Roman" w:eastAsia="Times New Roman" w:hAnsi="Times New Roman"/>
          <w:b w:val="1"/>
          <w:i w:val="1"/>
          <w:sz w:val="28"/>
          <w:szCs w:val="28"/>
          <w:highlight w:val="white"/>
          <w:rtl w:val="0"/>
        </w:rPr>
        <w:t xml:space="preserve">, în acțiunile noastre viitoare, vom urmări realizarea cu celeritate a următoarelor obiective:</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705"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Transpunerea în legislație a interdicției privind amnistia și grațierea pentru infracțiuni de corupție. </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705"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Transpunerea în legislație a interdicției adoptării de către Guvern a ordonanțelor de urgență în domeniul infracțiunilor, pedepselor și al organizării judiciare corelată cu dreptul altor autorități constituționale de a sesiza direct Curtea Constituțională cu privire la ordonanțe.</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705"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Transpunerea în legislație a măsurilor necesare asigurării integrității în funcțiile publice.</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705" w:hanging="360"/>
        <w:jc w:val="both"/>
        <w:rPr>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Revizuirea legilor justiției, inclusiv a ordonanțelor de urgență prin care au fost modificate,  în deplin și strict acord cu avizele Comisiei de la Veneția, a Consiliilor Consultative ale Judecătorilor și Procurorilor Europeni, precum și a rapoartelor Comisiei Europene și GRECO.</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705" w:hanging="360"/>
        <w:jc w:val="both"/>
        <w:rPr>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Adoptarea modificărilor aduse Codului penal și Codului de procedură penală numai cu respectarea deplină a recomandărilor Comisiei de la Veneția și Comisiei Europene.</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67" w:right="-705" w:hanging="719.9999999999999"/>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67" w:right="-705" w:firstLine="709"/>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De asemenea, ne angajăm să transpunem în legislație, în cel mai scurt timp, măsurile necesare asigurării - atât în țară, cât și în străinătate – a exercitării depline și efective a dreptului de vot de către cetățenii români.</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67" w:right="-705" w:firstLine="709"/>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spacing w:line="360" w:lineRule="auto"/>
        <w:ind w:left="-567" w:right="-705" w:firstLine="72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highlight w:val="white"/>
          <w:rtl w:val="0"/>
        </w:rPr>
        <w:t xml:space="preserve">NOI, semnatarii acestui acord politic național, </w:t>
      </w:r>
      <w:r w:rsidDel="00000000" w:rsidR="00000000" w:rsidRPr="00000000">
        <w:rPr>
          <w:rFonts w:ascii="Times New Roman" w:cs="Times New Roman" w:eastAsia="Times New Roman" w:hAnsi="Times New Roman"/>
          <w:b w:val="1"/>
          <w:i w:val="1"/>
          <w:sz w:val="28"/>
          <w:szCs w:val="28"/>
          <w:rtl w:val="0"/>
        </w:rPr>
        <w:t xml:space="preserve">ne angajăm ca în toate luările publice de poziție și în acțiunile întreprinse să sprijinim aprofundarea integrării în Uniunea Europeană și consolidarea proiectului european, precum și întărirea relației transatlantice, neexistând nicio incompatibilitate între continuarea integrării europene și aprofundarea Parteneriatului Strategic cu Statele Unite ale Americii, și să nu ne exprimăm contrar acestor linii de acțiune, principii și valori esențiale pentru România și cetățenii săi.</w:t>
      </w:r>
    </w:p>
    <w:p w:rsidR="00000000" w:rsidDel="00000000" w:rsidP="00000000" w:rsidRDefault="00000000" w:rsidRPr="00000000" w14:paraId="00000022">
      <w:pPr>
        <w:ind w:left="-567" w:right="-705"/>
        <w:rPr>
          <w:sz w:val="28"/>
          <w:szCs w:val="28"/>
        </w:rPr>
      </w:pPr>
      <w:r w:rsidDel="00000000" w:rsidR="00000000" w:rsidRPr="00000000">
        <w:rPr>
          <w:rtl w:val="0"/>
        </w:rPr>
      </w:r>
    </w:p>
    <w:p w:rsidR="00000000" w:rsidDel="00000000" w:rsidP="00000000" w:rsidRDefault="00000000" w:rsidRPr="00000000" w14:paraId="00000023">
      <w:pPr>
        <w:rPr>
          <w:sz w:val="28"/>
          <w:szCs w:val="28"/>
        </w:rPr>
      </w:pPr>
      <w:r w:rsidDel="00000000" w:rsidR="00000000" w:rsidRPr="00000000">
        <w:rPr>
          <w:rtl w:val="0"/>
        </w:rPr>
      </w:r>
    </w:p>
    <w:p w:rsidR="00000000" w:rsidDel="00000000" w:rsidP="00000000" w:rsidRDefault="00000000" w:rsidRPr="00000000" w14:paraId="00000024">
      <w:pPr>
        <w:rPr>
          <w:sz w:val="28"/>
          <w:szCs w:val="28"/>
        </w:rPr>
      </w:pPr>
      <w:r w:rsidDel="00000000" w:rsidR="00000000" w:rsidRPr="00000000">
        <w:rPr>
          <w:rtl w:val="0"/>
        </w:rPr>
      </w:r>
    </w:p>
    <w:p w:rsidR="00000000" w:rsidDel="00000000" w:rsidP="00000000" w:rsidRDefault="00000000" w:rsidRPr="00000000" w14:paraId="00000025">
      <w:pPr>
        <w:rPr>
          <w:sz w:val="28"/>
          <w:szCs w:val="28"/>
        </w:rPr>
      </w:pPr>
      <w:r w:rsidDel="00000000" w:rsidR="00000000" w:rsidRPr="00000000">
        <w:rPr>
          <w:rtl w:val="0"/>
        </w:rPr>
      </w:r>
    </w:p>
    <w:p w:rsidR="00000000" w:rsidDel="00000000" w:rsidP="00000000" w:rsidRDefault="00000000" w:rsidRPr="00000000" w14:paraId="00000026">
      <w:pPr>
        <w:rPr>
          <w:sz w:val="28"/>
          <w:szCs w:val="28"/>
        </w:rPr>
      </w:pPr>
      <w:r w:rsidDel="00000000" w:rsidR="00000000" w:rsidRPr="00000000">
        <w:rPr>
          <w:rtl w:val="0"/>
        </w:rPr>
      </w:r>
    </w:p>
    <w:p w:rsidR="00000000" w:rsidDel="00000000" w:rsidP="00000000" w:rsidRDefault="00000000" w:rsidRPr="00000000" w14:paraId="00000027">
      <w:pPr>
        <w:tabs>
          <w:tab w:val="left" w:pos="2025"/>
        </w:tabs>
        <w:rPr>
          <w:sz w:val="28"/>
          <w:szCs w:val="28"/>
        </w:rPr>
      </w:pPr>
      <w:r w:rsidDel="00000000" w:rsidR="00000000" w:rsidRPr="00000000">
        <w:rPr>
          <w:sz w:val="28"/>
          <w:szCs w:val="28"/>
          <w:rtl w:val="0"/>
        </w:rPr>
        <w:tab/>
      </w:r>
    </w:p>
    <w:sectPr>
      <w:footerReference r:id="rId6" w:type="default"/>
      <w:pgSz w:h="15840" w:w="12240"/>
      <w:pgMar w:bottom="709" w:top="426" w:left="1440" w:right="144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9" w:hanging="360"/>
      </w:pPr>
      <w:rPr>
        <w:rFonts w:ascii="Noto Sans Symbols" w:cs="Noto Sans Symbols" w:eastAsia="Noto Sans Symbols" w:hAnsi="Noto Sans Symbols"/>
      </w:rPr>
    </w:lvl>
    <w:lvl w:ilvl="1">
      <w:start w:val="1"/>
      <w:numFmt w:val="bullet"/>
      <w:lvlText w:val="o"/>
      <w:lvlJc w:val="left"/>
      <w:pPr>
        <w:ind w:left="371" w:hanging="360"/>
      </w:pPr>
      <w:rPr>
        <w:rFonts w:ascii="Courier New" w:cs="Courier New" w:eastAsia="Courier New" w:hAnsi="Courier New"/>
      </w:rPr>
    </w:lvl>
    <w:lvl w:ilvl="2">
      <w:start w:val="1"/>
      <w:numFmt w:val="bullet"/>
      <w:lvlText w:val="▪"/>
      <w:lvlJc w:val="left"/>
      <w:pPr>
        <w:ind w:left="1091" w:hanging="360"/>
      </w:pPr>
      <w:rPr>
        <w:rFonts w:ascii="Noto Sans Symbols" w:cs="Noto Sans Symbols" w:eastAsia="Noto Sans Symbols" w:hAnsi="Noto Sans Symbols"/>
      </w:rPr>
    </w:lvl>
    <w:lvl w:ilvl="3">
      <w:start w:val="1"/>
      <w:numFmt w:val="bullet"/>
      <w:lvlText w:val="●"/>
      <w:lvlJc w:val="left"/>
      <w:pPr>
        <w:ind w:left="1811" w:hanging="360"/>
      </w:pPr>
      <w:rPr>
        <w:rFonts w:ascii="Noto Sans Symbols" w:cs="Noto Sans Symbols" w:eastAsia="Noto Sans Symbols" w:hAnsi="Noto Sans Symbols"/>
      </w:rPr>
    </w:lvl>
    <w:lvl w:ilvl="4">
      <w:start w:val="1"/>
      <w:numFmt w:val="bullet"/>
      <w:lvlText w:val="o"/>
      <w:lvlJc w:val="left"/>
      <w:pPr>
        <w:ind w:left="2531" w:hanging="360"/>
      </w:pPr>
      <w:rPr>
        <w:rFonts w:ascii="Courier New" w:cs="Courier New" w:eastAsia="Courier New" w:hAnsi="Courier New"/>
      </w:rPr>
    </w:lvl>
    <w:lvl w:ilvl="5">
      <w:start w:val="1"/>
      <w:numFmt w:val="bullet"/>
      <w:lvlText w:val="▪"/>
      <w:lvlJc w:val="left"/>
      <w:pPr>
        <w:ind w:left="3251" w:hanging="360"/>
      </w:pPr>
      <w:rPr>
        <w:rFonts w:ascii="Noto Sans Symbols" w:cs="Noto Sans Symbols" w:eastAsia="Noto Sans Symbols" w:hAnsi="Noto Sans Symbols"/>
      </w:rPr>
    </w:lvl>
    <w:lvl w:ilvl="6">
      <w:start w:val="1"/>
      <w:numFmt w:val="bullet"/>
      <w:lvlText w:val="●"/>
      <w:lvlJc w:val="left"/>
      <w:pPr>
        <w:ind w:left="3971" w:hanging="360"/>
      </w:pPr>
      <w:rPr>
        <w:rFonts w:ascii="Noto Sans Symbols" w:cs="Noto Sans Symbols" w:eastAsia="Noto Sans Symbols" w:hAnsi="Noto Sans Symbols"/>
      </w:rPr>
    </w:lvl>
    <w:lvl w:ilvl="7">
      <w:start w:val="1"/>
      <w:numFmt w:val="bullet"/>
      <w:lvlText w:val="o"/>
      <w:lvlJc w:val="left"/>
      <w:pPr>
        <w:ind w:left="4691" w:hanging="360"/>
      </w:pPr>
      <w:rPr>
        <w:rFonts w:ascii="Courier New" w:cs="Courier New" w:eastAsia="Courier New" w:hAnsi="Courier New"/>
      </w:rPr>
    </w:lvl>
    <w:lvl w:ilvl="8">
      <w:start w:val="1"/>
      <w:numFmt w:val="bullet"/>
      <w:lvlText w:val="▪"/>
      <w:lvlJc w:val="left"/>
      <w:pPr>
        <w:ind w:left="5411" w:hanging="360"/>
      </w:pPr>
      <w:rPr>
        <w:rFonts w:ascii="Noto Sans Symbols" w:cs="Noto Sans Symbols" w:eastAsia="Noto Sans Symbols" w:hAnsi="Noto Sans Symbols"/>
      </w:rPr>
    </w:lvl>
  </w:abstractNum>
  <w:abstractNum w:abstractNumId="2">
    <w:lvl w:ilvl="0">
      <w:start w:val="1"/>
      <w:numFmt w:val="bullet"/>
      <w:lvlText w:val="●"/>
      <w:lvlJc w:val="left"/>
      <w:pPr>
        <w:ind w:left="11" w:hanging="360"/>
      </w:pPr>
      <w:rPr>
        <w:rFonts w:ascii="Noto Sans Symbols" w:cs="Noto Sans Symbols" w:eastAsia="Noto Sans Symbols" w:hAnsi="Noto Sans Symbols"/>
      </w:rPr>
    </w:lvl>
    <w:lvl w:ilvl="1">
      <w:start w:val="1"/>
      <w:numFmt w:val="bullet"/>
      <w:lvlText w:val="o"/>
      <w:lvlJc w:val="left"/>
      <w:pPr>
        <w:ind w:left="731" w:hanging="360.00000000000006"/>
      </w:pPr>
      <w:rPr>
        <w:rFonts w:ascii="Courier New" w:cs="Courier New" w:eastAsia="Courier New" w:hAnsi="Courier New"/>
      </w:rPr>
    </w:lvl>
    <w:lvl w:ilvl="2">
      <w:start w:val="1"/>
      <w:numFmt w:val="bullet"/>
      <w:lvlText w:val="▪"/>
      <w:lvlJc w:val="left"/>
      <w:pPr>
        <w:ind w:left="1451" w:hanging="360"/>
      </w:pPr>
      <w:rPr>
        <w:rFonts w:ascii="Noto Sans Symbols" w:cs="Noto Sans Symbols" w:eastAsia="Noto Sans Symbols" w:hAnsi="Noto Sans Symbols"/>
      </w:rPr>
    </w:lvl>
    <w:lvl w:ilvl="3">
      <w:start w:val="1"/>
      <w:numFmt w:val="bullet"/>
      <w:lvlText w:val="●"/>
      <w:lvlJc w:val="left"/>
      <w:pPr>
        <w:ind w:left="2171" w:hanging="360"/>
      </w:pPr>
      <w:rPr>
        <w:rFonts w:ascii="Noto Sans Symbols" w:cs="Noto Sans Symbols" w:eastAsia="Noto Sans Symbols" w:hAnsi="Noto Sans Symbols"/>
      </w:rPr>
    </w:lvl>
    <w:lvl w:ilvl="4">
      <w:start w:val="1"/>
      <w:numFmt w:val="bullet"/>
      <w:lvlText w:val="o"/>
      <w:lvlJc w:val="left"/>
      <w:pPr>
        <w:ind w:left="2891" w:hanging="360"/>
      </w:pPr>
      <w:rPr>
        <w:rFonts w:ascii="Courier New" w:cs="Courier New" w:eastAsia="Courier New" w:hAnsi="Courier New"/>
      </w:rPr>
    </w:lvl>
    <w:lvl w:ilvl="5">
      <w:start w:val="1"/>
      <w:numFmt w:val="bullet"/>
      <w:lvlText w:val="▪"/>
      <w:lvlJc w:val="left"/>
      <w:pPr>
        <w:ind w:left="3611" w:hanging="360"/>
      </w:pPr>
      <w:rPr>
        <w:rFonts w:ascii="Noto Sans Symbols" w:cs="Noto Sans Symbols" w:eastAsia="Noto Sans Symbols" w:hAnsi="Noto Sans Symbols"/>
      </w:rPr>
    </w:lvl>
    <w:lvl w:ilvl="6">
      <w:start w:val="1"/>
      <w:numFmt w:val="bullet"/>
      <w:lvlText w:val="●"/>
      <w:lvlJc w:val="left"/>
      <w:pPr>
        <w:ind w:left="4331" w:hanging="360"/>
      </w:pPr>
      <w:rPr>
        <w:rFonts w:ascii="Noto Sans Symbols" w:cs="Noto Sans Symbols" w:eastAsia="Noto Sans Symbols" w:hAnsi="Noto Sans Symbols"/>
      </w:rPr>
    </w:lvl>
    <w:lvl w:ilvl="7">
      <w:start w:val="1"/>
      <w:numFmt w:val="bullet"/>
      <w:lvlText w:val="o"/>
      <w:lvlJc w:val="left"/>
      <w:pPr>
        <w:ind w:left="5051" w:hanging="360"/>
      </w:pPr>
      <w:rPr>
        <w:rFonts w:ascii="Courier New" w:cs="Courier New" w:eastAsia="Courier New" w:hAnsi="Courier New"/>
      </w:rPr>
    </w:lvl>
    <w:lvl w:ilvl="8">
      <w:start w:val="1"/>
      <w:numFmt w:val="bullet"/>
      <w:lvlText w:val="▪"/>
      <w:lvlJc w:val="left"/>
      <w:pPr>
        <w:ind w:left="5771"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