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3"/>
        <w:gridCol w:w="1741"/>
      </w:tblGrid>
      <w:tr w:rsidR="00131E28" w:rsidRPr="00131E28" w:rsidTr="004A6091">
        <w:tc>
          <w:tcPr>
            <w:tcW w:w="10564" w:type="dxa"/>
            <w:gridSpan w:val="2"/>
          </w:tcPr>
          <w:p w:rsidR="00131E28" w:rsidRPr="00B009F0" w:rsidRDefault="00131E28" w:rsidP="00131E28">
            <w:pPr>
              <w:jc w:val="center"/>
              <w:rPr>
                <w:rFonts w:ascii="Times New Roman" w:hAnsi="Times New Roman" w:cs="Times New Roman"/>
                <w:b/>
                <w:sz w:val="32"/>
                <w:szCs w:val="24"/>
              </w:rPr>
            </w:pPr>
            <w:r w:rsidRPr="00B009F0">
              <w:rPr>
                <w:rFonts w:ascii="Times New Roman" w:hAnsi="Times New Roman" w:cs="Times New Roman"/>
                <w:b/>
                <w:sz w:val="32"/>
                <w:szCs w:val="24"/>
              </w:rPr>
              <w:t>Studiu de impact</w:t>
            </w:r>
            <w:r w:rsidR="00D82C0F">
              <w:rPr>
                <w:rFonts w:ascii="Times New Roman" w:hAnsi="Times New Roman" w:cs="Times New Roman"/>
                <w:b/>
                <w:sz w:val="32"/>
                <w:szCs w:val="24"/>
              </w:rPr>
              <w:t xml:space="preserve"> – impozitarea companiilor in functie de venit</w:t>
            </w:r>
          </w:p>
          <w:p w:rsidR="00131E28" w:rsidRPr="00B009F0" w:rsidRDefault="008A5A39" w:rsidP="00131E28">
            <w:pPr>
              <w:jc w:val="center"/>
              <w:rPr>
                <w:rFonts w:ascii="Times New Roman" w:hAnsi="Times New Roman" w:cs="Times New Roman"/>
                <w:b/>
                <w:color w:val="FF0000"/>
                <w:sz w:val="28"/>
                <w:szCs w:val="24"/>
              </w:rPr>
            </w:pPr>
            <w:r w:rsidRPr="00B009F0">
              <w:rPr>
                <w:rFonts w:ascii="Times New Roman" w:hAnsi="Times New Roman" w:cs="Times New Roman"/>
                <w:b/>
                <w:color w:val="FF0000"/>
                <w:sz w:val="28"/>
                <w:szCs w:val="24"/>
              </w:rPr>
              <w:t>Programul de Guvernare 2017-2020</w:t>
            </w:r>
          </w:p>
          <w:p w:rsidR="00A74530" w:rsidRPr="00111339" w:rsidRDefault="00830D32" w:rsidP="007D17AF">
            <w:pPr>
              <w:jc w:val="center"/>
              <w:rPr>
                <w:rFonts w:ascii="Times New Roman" w:hAnsi="Times New Roman" w:cs="Times New Roman"/>
                <w:b/>
                <w:i/>
                <w:sz w:val="24"/>
                <w:szCs w:val="24"/>
              </w:rPr>
            </w:pPr>
            <w:r w:rsidRPr="00111339">
              <w:rPr>
                <w:rFonts w:ascii="Times New Roman" w:hAnsi="Times New Roman" w:cs="Times New Roman"/>
                <w:b/>
                <w:i/>
                <w:sz w:val="24"/>
                <w:szCs w:val="24"/>
              </w:rPr>
              <w:t xml:space="preserve">Concluzie: Se trateaza efectul, nu cauza! Operatia in masa </w:t>
            </w:r>
            <w:r w:rsidR="007D17AF">
              <w:rPr>
                <w:rFonts w:ascii="Times New Roman" w:hAnsi="Times New Roman" w:cs="Times New Roman"/>
                <w:b/>
                <w:i/>
                <w:sz w:val="24"/>
                <w:szCs w:val="24"/>
              </w:rPr>
              <w:t>poate</w:t>
            </w:r>
            <w:r w:rsidRPr="00111339">
              <w:rPr>
                <w:rFonts w:ascii="Times New Roman" w:hAnsi="Times New Roman" w:cs="Times New Roman"/>
                <w:b/>
                <w:i/>
                <w:sz w:val="24"/>
                <w:szCs w:val="24"/>
              </w:rPr>
              <w:t xml:space="preserve"> reusi, </w:t>
            </w:r>
            <w:r w:rsidR="00111339" w:rsidRPr="00111339">
              <w:rPr>
                <w:rFonts w:ascii="Times New Roman" w:hAnsi="Times New Roman" w:cs="Times New Roman"/>
                <w:b/>
                <w:i/>
                <w:sz w:val="24"/>
                <w:szCs w:val="24"/>
              </w:rPr>
              <w:t xml:space="preserve">dar </w:t>
            </w:r>
            <w:r w:rsidRPr="00111339">
              <w:rPr>
                <w:rFonts w:ascii="Times New Roman" w:hAnsi="Times New Roman" w:cs="Times New Roman"/>
                <w:b/>
                <w:i/>
                <w:sz w:val="24"/>
                <w:szCs w:val="24"/>
              </w:rPr>
              <w:t xml:space="preserve">multi pacienti </w:t>
            </w:r>
            <w:r w:rsidR="007D17AF">
              <w:rPr>
                <w:rFonts w:ascii="Times New Roman" w:hAnsi="Times New Roman" w:cs="Times New Roman"/>
                <w:b/>
                <w:i/>
                <w:sz w:val="24"/>
                <w:szCs w:val="24"/>
              </w:rPr>
              <w:t>vor muri</w:t>
            </w:r>
            <w:r w:rsidRPr="00111339">
              <w:rPr>
                <w:rFonts w:ascii="Times New Roman" w:hAnsi="Times New Roman" w:cs="Times New Roman"/>
                <w:b/>
                <w:i/>
                <w:sz w:val="24"/>
                <w:szCs w:val="24"/>
              </w:rPr>
              <w:t>!</w:t>
            </w:r>
          </w:p>
        </w:tc>
      </w:tr>
      <w:tr w:rsidR="00131E28" w:rsidRPr="00131E28" w:rsidTr="004A6091">
        <w:tc>
          <w:tcPr>
            <w:tcW w:w="8857" w:type="dxa"/>
          </w:tcPr>
          <w:p w:rsidR="00131E28" w:rsidRPr="00B945EC" w:rsidRDefault="00131E28">
            <w:pPr>
              <w:rPr>
                <w:rFonts w:ascii="Times New Roman" w:hAnsi="Times New Roman" w:cs="Times New Roman"/>
                <w:sz w:val="12"/>
                <w:szCs w:val="8"/>
              </w:rPr>
            </w:pPr>
          </w:p>
        </w:tc>
        <w:tc>
          <w:tcPr>
            <w:tcW w:w="1707" w:type="dxa"/>
          </w:tcPr>
          <w:p w:rsidR="00131E28" w:rsidRPr="00131E28" w:rsidRDefault="00131E28">
            <w:pPr>
              <w:rPr>
                <w:rFonts w:ascii="Times New Roman" w:hAnsi="Times New Roman" w:cs="Times New Roman"/>
                <w:sz w:val="8"/>
                <w:szCs w:val="8"/>
              </w:rPr>
            </w:pPr>
          </w:p>
        </w:tc>
      </w:tr>
      <w:tr w:rsidR="005B1950" w:rsidRPr="00131E28" w:rsidTr="004A6091">
        <w:tc>
          <w:tcPr>
            <w:tcW w:w="10564" w:type="dxa"/>
            <w:gridSpan w:val="2"/>
          </w:tcPr>
          <w:p w:rsidR="005B1950" w:rsidRPr="007379A4" w:rsidRDefault="00DE4749" w:rsidP="004373A4">
            <w:pPr>
              <w:jc w:val="both"/>
              <w:rPr>
                <w:rFonts w:ascii="Times New Roman" w:hAnsi="Times New Roman" w:cs="Times New Roman"/>
                <w:b/>
                <w:color w:val="FF0000"/>
                <w:sz w:val="28"/>
                <w:szCs w:val="24"/>
              </w:rPr>
            </w:pPr>
            <w:r w:rsidRPr="007379A4">
              <w:rPr>
                <w:rFonts w:ascii="Times New Roman" w:hAnsi="Times New Roman" w:cs="Times New Roman"/>
                <w:b/>
                <w:color w:val="FF0000"/>
                <w:sz w:val="28"/>
                <w:szCs w:val="24"/>
              </w:rPr>
              <w:t>A</w:t>
            </w:r>
            <w:r w:rsidR="005B1950" w:rsidRPr="007379A4">
              <w:rPr>
                <w:rFonts w:ascii="Times New Roman" w:hAnsi="Times New Roman" w:cs="Times New Roman"/>
                <w:b/>
                <w:color w:val="FF0000"/>
                <w:sz w:val="28"/>
                <w:szCs w:val="24"/>
              </w:rPr>
              <w:t xml:space="preserve">. </w:t>
            </w:r>
            <w:r w:rsidR="00A74530" w:rsidRPr="007379A4">
              <w:rPr>
                <w:rFonts w:ascii="Times New Roman" w:hAnsi="Times New Roman" w:cs="Times New Roman"/>
                <w:b/>
                <w:color w:val="FF0000"/>
                <w:sz w:val="28"/>
                <w:szCs w:val="24"/>
              </w:rPr>
              <w:t xml:space="preserve">Programul de </w:t>
            </w:r>
            <w:r w:rsidR="00B009F0" w:rsidRPr="007379A4">
              <w:rPr>
                <w:rFonts w:ascii="Times New Roman" w:hAnsi="Times New Roman" w:cs="Times New Roman"/>
                <w:b/>
                <w:color w:val="FF0000"/>
                <w:sz w:val="28"/>
                <w:szCs w:val="24"/>
              </w:rPr>
              <w:t>Guvernare 2017-2020: Masuri noi</w:t>
            </w:r>
          </w:p>
          <w:p w:rsidR="004373A4" w:rsidRDefault="004373A4" w:rsidP="00F54A38">
            <w:pPr>
              <w:jc w:val="both"/>
              <w:rPr>
                <w:rFonts w:ascii="Times New Roman" w:hAnsi="Times New Roman" w:cs="Times New Roman"/>
                <w:sz w:val="24"/>
                <w:szCs w:val="24"/>
              </w:rPr>
            </w:pPr>
            <w:r>
              <w:rPr>
                <w:rFonts w:ascii="Times New Roman" w:hAnsi="Times New Roman" w:cs="Times New Roman"/>
                <w:sz w:val="24"/>
                <w:szCs w:val="24"/>
              </w:rPr>
              <w:t>Programul</w:t>
            </w:r>
            <w:r w:rsidR="0061474F">
              <w:rPr>
                <w:rFonts w:ascii="Times New Roman" w:hAnsi="Times New Roman" w:cs="Times New Roman"/>
                <w:sz w:val="24"/>
                <w:szCs w:val="24"/>
              </w:rPr>
              <w:t xml:space="preserve"> de Guvernare 2017 – 2020 </w:t>
            </w:r>
            <w:r>
              <w:rPr>
                <w:rFonts w:ascii="Times New Roman" w:hAnsi="Times New Roman" w:cs="Times New Roman"/>
                <w:sz w:val="24"/>
                <w:szCs w:val="24"/>
              </w:rPr>
              <w:t xml:space="preserve">prezentat de catre noul guvern propune </w:t>
            </w:r>
            <w:r w:rsidR="0061474F">
              <w:rPr>
                <w:rFonts w:ascii="Times New Roman" w:hAnsi="Times New Roman" w:cs="Times New Roman"/>
                <w:sz w:val="24"/>
                <w:szCs w:val="24"/>
              </w:rPr>
              <w:t xml:space="preserve"> o serie de modificari </w:t>
            </w:r>
            <w:r>
              <w:rPr>
                <w:rFonts w:ascii="Times New Roman" w:hAnsi="Times New Roman" w:cs="Times New Roman"/>
                <w:sz w:val="24"/>
                <w:szCs w:val="24"/>
              </w:rPr>
              <w:t xml:space="preserve">de ordin fiscal, social si investitional. Din perspectiva </w:t>
            </w:r>
            <w:r w:rsidRPr="004373A4">
              <w:rPr>
                <w:rFonts w:ascii="Times New Roman" w:hAnsi="Times New Roman" w:cs="Times New Roman"/>
                <w:b/>
                <w:sz w:val="24"/>
                <w:szCs w:val="24"/>
              </w:rPr>
              <w:t xml:space="preserve">impactului </w:t>
            </w:r>
            <w:r w:rsidR="00F54A38">
              <w:rPr>
                <w:rFonts w:ascii="Times New Roman" w:hAnsi="Times New Roman" w:cs="Times New Roman"/>
                <w:b/>
                <w:sz w:val="24"/>
                <w:szCs w:val="24"/>
              </w:rPr>
              <w:t xml:space="preserve">fiscal asupra mediului de afaceri, cea mai importanta modificare vizeaza </w:t>
            </w:r>
            <w:r w:rsidRPr="004373A4">
              <w:rPr>
                <w:rFonts w:ascii="Times New Roman" w:hAnsi="Times New Roman" w:cs="Times New Roman"/>
                <w:b/>
                <w:bCs/>
                <w:sz w:val="24"/>
                <w:szCs w:val="24"/>
              </w:rPr>
              <w:t>impozitarea veniturilor pe</w:t>
            </w:r>
            <w:r w:rsidR="009676B5">
              <w:rPr>
                <w:rFonts w:ascii="Times New Roman" w:hAnsi="Times New Roman" w:cs="Times New Roman"/>
                <w:b/>
                <w:bCs/>
                <w:sz w:val="24"/>
                <w:szCs w:val="24"/>
              </w:rPr>
              <w:t>ntru toate companiile din Roma</w:t>
            </w:r>
            <w:r w:rsidRPr="004373A4">
              <w:rPr>
                <w:rFonts w:ascii="Times New Roman" w:hAnsi="Times New Roman" w:cs="Times New Roman"/>
                <w:b/>
                <w:bCs/>
                <w:sz w:val="24"/>
                <w:szCs w:val="24"/>
              </w:rPr>
              <w:t>nia,</w:t>
            </w:r>
            <w:r w:rsidR="009676B5">
              <w:rPr>
                <w:rFonts w:ascii="Times New Roman" w:hAnsi="Times New Roman" w:cs="Times New Roman"/>
                <w:b/>
                <w:bCs/>
                <w:sz w:val="24"/>
                <w:szCs w:val="24"/>
              </w:rPr>
              <w:t xml:space="preserve"> (impozit pe cifra de afaceri) i</w:t>
            </w:r>
            <w:r w:rsidRPr="004373A4">
              <w:rPr>
                <w:rFonts w:ascii="Times New Roman" w:hAnsi="Times New Roman" w:cs="Times New Roman"/>
                <w:b/>
                <w:bCs/>
                <w:sz w:val="24"/>
                <w:szCs w:val="24"/>
              </w:rPr>
              <w:t>ncep</w:t>
            </w:r>
            <w:r>
              <w:rPr>
                <w:rFonts w:ascii="Times New Roman" w:hAnsi="Times New Roman" w:cs="Times New Roman"/>
                <w:b/>
                <w:bCs/>
                <w:sz w:val="24"/>
                <w:szCs w:val="24"/>
              </w:rPr>
              <w:t>a</w:t>
            </w:r>
            <w:r w:rsidRPr="004373A4">
              <w:rPr>
                <w:rFonts w:ascii="Times New Roman" w:hAnsi="Times New Roman" w:cs="Times New Roman"/>
                <w:b/>
                <w:bCs/>
                <w:sz w:val="24"/>
                <w:szCs w:val="24"/>
              </w:rPr>
              <w:t xml:space="preserve">nd cu 01 ianuarie 2018. Acest impozit va </w:t>
            </w:r>
            <w:r>
              <w:rPr>
                <w:rFonts w:ascii="Times New Roman" w:hAnsi="Times New Roman" w:cs="Times New Roman"/>
                <w:b/>
                <w:bCs/>
                <w:sz w:val="24"/>
                <w:szCs w:val="24"/>
              </w:rPr>
              <w:t>i</w:t>
            </w:r>
            <w:r w:rsidRPr="004373A4">
              <w:rPr>
                <w:rFonts w:ascii="Times New Roman" w:hAnsi="Times New Roman" w:cs="Times New Roman"/>
                <w:b/>
                <w:bCs/>
                <w:sz w:val="24"/>
                <w:szCs w:val="24"/>
              </w:rPr>
              <w:t xml:space="preserve">nlocui impozitul pe profit </w:t>
            </w:r>
            <w:r>
              <w:rPr>
                <w:rFonts w:ascii="Times New Roman" w:hAnsi="Times New Roman" w:cs="Times New Roman"/>
                <w:b/>
                <w:bCs/>
                <w:sz w:val="24"/>
                <w:szCs w:val="24"/>
              </w:rPr>
              <w:t>s</w:t>
            </w:r>
            <w:r w:rsidRPr="004373A4">
              <w:rPr>
                <w:rFonts w:ascii="Times New Roman" w:hAnsi="Times New Roman" w:cs="Times New Roman"/>
                <w:b/>
                <w:bCs/>
                <w:sz w:val="24"/>
                <w:szCs w:val="24"/>
              </w:rPr>
              <w:t>i va av</w:t>
            </w:r>
            <w:r w:rsidR="009676B5">
              <w:rPr>
                <w:rFonts w:ascii="Times New Roman" w:hAnsi="Times New Roman" w:cs="Times New Roman"/>
                <w:b/>
                <w:bCs/>
                <w:sz w:val="24"/>
                <w:szCs w:val="24"/>
              </w:rPr>
              <w:t>ea 2 sau 3 trepte de impozitare</w:t>
            </w:r>
            <w:r w:rsidRPr="004373A4">
              <w:rPr>
                <w:rFonts w:ascii="Times New Roman" w:hAnsi="Times New Roman" w:cs="Times New Roman"/>
                <w:b/>
                <w:bCs/>
                <w:sz w:val="24"/>
                <w:szCs w:val="24"/>
              </w:rPr>
              <w:t>.</w:t>
            </w:r>
            <w:r w:rsidRPr="004373A4">
              <w:rPr>
                <w:rFonts w:ascii="Times New Roman" w:hAnsi="Times New Roman" w:cs="Times New Roman"/>
                <w:sz w:val="24"/>
                <w:szCs w:val="24"/>
              </w:rPr>
              <w:t xml:space="preserve"> </w:t>
            </w:r>
            <w:r>
              <w:rPr>
                <w:rFonts w:ascii="Times New Roman" w:hAnsi="Times New Roman" w:cs="Times New Roman"/>
                <w:sz w:val="24"/>
                <w:szCs w:val="24"/>
              </w:rPr>
              <w:t>I</w:t>
            </w:r>
            <w:r w:rsidRPr="004373A4">
              <w:rPr>
                <w:rFonts w:ascii="Times New Roman" w:hAnsi="Times New Roman" w:cs="Times New Roman"/>
                <w:sz w:val="24"/>
                <w:szCs w:val="24"/>
              </w:rPr>
              <w:t xml:space="preserve">n acest moment </w:t>
            </w:r>
            <w:r w:rsidR="009676B5">
              <w:rPr>
                <w:rFonts w:ascii="Times New Roman" w:hAnsi="Times New Roman" w:cs="Times New Roman"/>
                <w:sz w:val="24"/>
                <w:szCs w:val="24"/>
              </w:rPr>
              <w:t xml:space="preserve">impozitul pe profit este de 16%, in timp ce </w:t>
            </w:r>
            <w:r w:rsidRPr="004373A4">
              <w:rPr>
                <w:rFonts w:ascii="Times New Roman" w:hAnsi="Times New Roman" w:cs="Times New Roman"/>
                <w:sz w:val="24"/>
                <w:szCs w:val="24"/>
              </w:rPr>
              <w:t>micro</w:t>
            </w:r>
            <w:r>
              <w:rPr>
                <w:rFonts w:ascii="Times New Roman" w:hAnsi="Times New Roman" w:cs="Times New Roman"/>
                <w:sz w:val="24"/>
                <w:szCs w:val="24"/>
              </w:rPr>
              <w:t>i</w:t>
            </w:r>
            <w:r w:rsidRPr="004373A4">
              <w:rPr>
                <w:rFonts w:ascii="Times New Roman" w:hAnsi="Times New Roman" w:cs="Times New Roman"/>
                <w:sz w:val="24"/>
                <w:szCs w:val="24"/>
              </w:rPr>
              <w:t>nreprinderile cu cifra de afaceri sub 500.000 de euro pe an pl</w:t>
            </w:r>
            <w:r>
              <w:rPr>
                <w:rFonts w:ascii="Times New Roman" w:hAnsi="Times New Roman" w:cs="Times New Roman"/>
                <w:sz w:val="24"/>
                <w:szCs w:val="24"/>
              </w:rPr>
              <w:t>a</w:t>
            </w:r>
            <w:r w:rsidRPr="004373A4">
              <w:rPr>
                <w:rFonts w:ascii="Times New Roman" w:hAnsi="Times New Roman" w:cs="Times New Roman"/>
                <w:sz w:val="24"/>
                <w:szCs w:val="24"/>
              </w:rPr>
              <w:t>tesc impozit pe venit, de 3% pe cifra de afaceri dac</w:t>
            </w:r>
            <w:r>
              <w:rPr>
                <w:rFonts w:ascii="Times New Roman" w:hAnsi="Times New Roman" w:cs="Times New Roman"/>
                <w:sz w:val="24"/>
                <w:szCs w:val="24"/>
              </w:rPr>
              <w:t>a</w:t>
            </w:r>
            <w:r w:rsidRPr="004373A4">
              <w:rPr>
                <w:rFonts w:ascii="Times New Roman" w:hAnsi="Times New Roman" w:cs="Times New Roman"/>
                <w:sz w:val="24"/>
                <w:szCs w:val="24"/>
              </w:rPr>
              <w:t xml:space="preserve"> nu au angaja</w:t>
            </w:r>
            <w:r>
              <w:rPr>
                <w:rFonts w:ascii="Times New Roman" w:hAnsi="Times New Roman" w:cs="Times New Roman"/>
                <w:sz w:val="24"/>
                <w:szCs w:val="24"/>
              </w:rPr>
              <w:t>t</w:t>
            </w:r>
            <w:r w:rsidRPr="004373A4">
              <w:rPr>
                <w:rFonts w:ascii="Times New Roman" w:hAnsi="Times New Roman" w:cs="Times New Roman"/>
                <w:sz w:val="24"/>
                <w:szCs w:val="24"/>
              </w:rPr>
              <w:t xml:space="preserve">i </w:t>
            </w:r>
            <w:r w:rsidR="009676B5">
              <w:rPr>
                <w:rFonts w:ascii="Times New Roman" w:hAnsi="Times New Roman" w:cs="Times New Roman"/>
                <w:sz w:val="24"/>
                <w:szCs w:val="24"/>
              </w:rPr>
              <w:t>sau</w:t>
            </w:r>
            <w:r w:rsidRPr="004373A4">
              <w:rPr>
                <w:rFonts w:ascii="Times New Roman" w:hAnsi="Times New Roman" w:cs="Times New Roman"/>
                <w:sz w:val="24"/>
                <w:szCs w:val="24"/>
              </w:rPr>
              <w:t xml:space="preserve"> de 1% daca au cel pu</w:t>
            </w:r>
            <w:r>
              <w:rPr>
                <w:rFonts w:ascii="Times New Roman" w:hAnsi="Times New Roman" w:cs="Times New Roman"/>
                <w:sz w:val="24"/>
                <w:szCs w:val="24"/>
              </w:rPr>
              <w:t>t</w:t>
            </w:r>
            <w:r w:rsidRPr="004373A4">
              <w:rPr>
                <w:rFonts w:ascii="Times New Roman" w:hAnsi="Times New Roman" w:cs="Times New Roman"/>
                <w:sz w:val="24"/>
                <w:szCs w:val="24"/>
              </w:rPr>
              <w:t xml:space="preserve">in un angajat. </w:t>
            </w:r>
            <w:r>
              <w:rPr>
                <w:rFonts w:ascii="Times New Roman" w:hAnsi="Times New Roman" w:cs="Times New Roman"/>
                <w:sz w:val="24"/>
                <w:szCs w:val="24"/>
              </w:rPr>
              <w:t>Conform ultimelor declaratii disponibile la acest moment ale</w:t>
            </w:r>
            <w:r w:rsidRPr="004373A4">
              <w:rPr>
                <w:rFonts w:ascii="Times New Roman" w:hAnsi="Times New Roman" w:cs="Times New Roman"/>
                <w:sz w:val="24"/>
                <w:szCs w:val="24"/>
              </w:rPr>
              <w:t xml:space="preserve"> ministrul desemnat, Ionu</w:t>
            </w:r>
            <w:r>
              <w:rPr>
                <w:rFonts w:ascii="Times New Roman" w:hAnsi="Times New Roman" w:cs="Times New Roman"/>
                <w:sz w:val="24"/>
                <w:szCs w:val="24"/>
              </w:rPr>
              <w:t>t</w:t>
            </w:r>
            <w:r w:rsidRPr="004373A4">
              <w:rPr>
                <w:rFonts w:ascii="Times New Roman" w:hAnsi="Times New Roman" w:cs="Times New Roman"/>
                <w:sz w:val="24"/>
                <w:szCs w:val="24"/>
              </w:rPr>
              <w:t xml:space="preserve"> Mi</w:t>
            </w:r>
            <w:r>
              <w:rPr>
                <w:rFonts w:ascii="Times New Roman" w:hAnsi="Times New Roman" w:cs="Times New Roman"/>
                <w:sz w:val="24"/>
                <w:szCs w:val="24"/>
              </w:rPr>
              <w:t>s</w:t>
            </w:r>
            <w:r w:rsidRPr="004373A4">
              <w:rPr>
                <w:rFonts w:ascii="Times New Roman" w:hAnsi="Times New Roman" w:cs="Times New Roman"/>
                <w:sz w:val="24"/>
                <w:szCs w:val="24"/>
              </w:rPr>
              <w:t>a</w:t>
            </w:r>
            <w:r>
              <w:rPr>
                <w:rFonts w:ascii="Times New Roman" w:hAnsi="Times New Roman" w:cs="Times New Roman"/>
                <w:sz w:val="24"/>
                <w:szCs w:val="24"/>
              </w:rPr>
              <w:t>,</w:t>
            </w:r>
            <w:r w:rsidRPr="004373A4">
              <w:rPr>
                <w:rFonts w:ascii="Times New Roman" w:hAnsi="Times New Roman" w:cs="Times New Roman"/>
                <w:sz w:val="24"/>
                <w:szCs w:val="24"/>
              </w:rPr>
              <w:t xml:space="preserve"> treptele de impozitare </w:t>
            </w:r>
            <w:r w:rsidR="009676B5">
              <w:rPr>
                <w:rFonts w:ascii="Times New Roman" w:hAnsi="Times New Roman" w:cs="Times New Roman"/>
                <w:sz w:val="24"/>
                <w:szCs w:val="24"/>
              </w:rPr>
              <w:t xml:space="preserve">pentru toate firmele </w:t>
            </w:r>
            <w:r w:rsidRPr="004373A4">
              <w:rPr>
                <w:rFonts w:ascii="Times New Roman" w:hAnsi="Times New Roman" w:cs="Times New Roman"/>
                <w:sz w:val="24"/>
                <w:szCs w:val="24"/>
              </w:rPr>
              <w:t>vor fi de 1</w:t>
            </w:r>
            <w:r w:rsidR="009676B5">
              <w:rPr>
                <w:rFonts w:ascii="Times New Roman" w:hAnsi="Times New Roman" w:cs="Times New Roman"/>
                <w:sz w:val="24"/>
                <w:szCs w:val="24"/>
              </w:rPr>
              <w:t>%, 2% și 3% pe cifra de afaceri.</w:t>
            </w:r>
          </w:p>
          <w:p w:rsidR="004373A4" w:rsidRPr="00131E28" w:rsidRDefault="004373A4" w:rsidP="00F54A38">
            <w:pPr>
              <w:pStyle w:val="ListParagraph"/>
              <w:jc w:val="both"/>
              <w:rPr>
                <w:rFonts w:ascii="Times New Roman" w:hAnsi="Times New Roman" w:cs="Times New Roman"/>
                <w:sz w:val="24"/>
                <w:szCs w:val="24"/>
              </w:rPr>
            </w:pPr>
          </w:p>
        </w:tc>
      </w:tr>
      <w:tr w:rsidR="002635E3" w:rsidRPr="00131E28" w:rsidTr="004A6091">
        <w:tc>
          <w:tcPr>
            <w:tcW w:w="10564" w:type="dxa"/>
            <w:gridSpan w:val="2"/>
          </w:tcPr>
          <w:p w:rsidR="002635E3" w:rsidRPr="002635E3" w:rsidRDefault="002635E3">
            <w:pPr>
              <w:rPr>
                <w:rFonts w:ascii="Times New Roman" w:hAnsi="Times New Roman" w:cs="Times New Roman"/>
                <w:sz w:val="8"/>
                <w:szCs w:val="8"/>
              </w:rPr>
            </w:pPr>
          </w:p>
        </w:tc>
      </w:tr>
      <w:tr w:rsidR="002635E3" w:rsidRPr="00131E28" w:rsidTr="004A6091">
        <w:tc>
          <w:tcPr>
            <w:tcW w:w="10564" w:type="dxa"/>
            <w:gridSpan w:val="2"/>
          </w:tcPr>
          <w:p w:rsidR="002635E3" w:rsidRPr="007379A4" w:rsidRDefault="00DE4749" w:rsidP="002635E3">
            <w:pPr>
              <w:rPr>
                <w:rFonts w:ascii="Times New Roman" w:hAnsi="Times New Roman" w:cs="Times New Roman"/>
                <w:b/>
                <w:color w:val="FF0000"/>
                <w:sz w:val="28"/>
                <w:szCs w:val="24"/>
              </w:rPr>
            </w:pPr>
            <w:r w:rsidRPr="007379A4">
              <w:rPr>
                <w:rFonts w:ascii="Times New Roman" w:hAnsi="Times New Roman" w:cs="Times New Roman"/>
                <w:b/>
                <w:color w:val="FF0000"/>
                <w:sz w:val="28"/>
                <w:szCs w:val="24"/>
              </w:rPr>
              <w:t>B</w:t>
            </w:r>
            <w:r w:rsidR="002635E3" w:rsidRPr="007379A4">
              <w:rPr>
                <w:rFonts w:ascii="Times New Roman" w:hAnsi="Times New Roman" w:cs="Times New Roman"/>
                <w:b/>
                <w:color w:val="FF0000"/>
                <w:sz w:val="28"/>
                <w:szCs w:val="24"/>
              </w:rPr>
              <w:t xml:space="preserve">. Contextul General al Mediului de Afaceri  </w:t>
            </w:r>
          </w:p>
          <w:p w:rsidR="002635E3" w:rsidRDefault="00F54A38" w:rsidP="00F54A38">
            <w:pPr>
              <w:jc w:val="both"/>
              <w:rPr>
                <w:rFonts w:ascii="Times New Roman" w:hAnsi="Times New Roman" w:cs="Times New Roman"/>
                <w:sz w:val="24"/>
                <w:szCs w:val="24"/>
              </w:rPr>
            </w:pPr>
            <w:r>
              <w:rPr>
                <w:rFonts w:ascii="Times New Roman" w:hAnsi="Times New Roman" w:cs="Times New Roman"/>
                <w:sz w:val="24"/>
                <w:szCs w:val="24"/>
              </w:rPr>
              <w:t>Conform reprezentantilor coalitiei aflate la guvernare, inlocuirea profitului brut cu cifra de afaceri ca baza impozabila este o masura menita sa combata practica multinationalelor de optimizare fiscale si diminuare a impozitelor platite, in conditiile in care acestea inregistreaza un profit impozabil de aproape trei ori mai mic comparativ cu firmele autohtone, desi nivelul cifrei de afaceri este similar. Declaratiile sunt facute in contextul in care veniturile colectate din impozite si taxe ca si procent din PIB in Romania sunt de 25,4%, nivelul minim din Uniunea Europeana dupa Irlanda si mult inferior mediei de 40,1% inregistrata in Uniunea Europeana (conform calculelor Consiliului Fiscal</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794B79" w:rsidRDefault="00794B79" w:rsidP="00F54A38">
            <w:pPr>
              <w:jc w:val="both"/>
              <w:rPr>
                <w:rFonts w:ascii="Times New Roman" w:hAnsi="Times New Roman" w:cs="Times New Roman"/>
                <w:sz w:val="24"/>
                <w:szCs w:val="24"/>
              </w:rPr>
            </w:pPr>
          </w:p>
          <w:p w:rsidR="005C7ABC" w:rsidRDefault="005C7ABC" w:rsidP="00F54A38">
            <w:pPr>
              <w:jc w:val="both"/>
              <w:rPr>
                <w:rFonts w:ascii="Times New Roman" w:hAnsi="Times New Roman" w:cs="Times New Roman"/>
                <w:sz w:val="24"/>
                <w:szCs w:val="24"/>
              </w:rPr>
            </w:pPr>
            <w:r>
              <w:rPr>
                <w:rFonts w:ascii="Times New Roman" w:hAnsi="Times New Roman" w:cs="Times New Roman"/>
                <w:sz w:val="24"/>
                <w:szCs w:val="24"/>
              </w:rPr>
              <w:t xml:space="preserve">Avand in vedere treptele de impozitare indicate in cazul in care se implementeaza aceasta masura fiscala incepand cu anul urmator, companiile se vor regasi intr-una din </w:t>
            </w:r>
            <w:r w:rsidR="007378B3">
              <w:rPr>
                <w:rFonts w:ascii="Times New Roman" w:hAnsi="Times New Roman" w:cs="Times New Roman"/>
                <w:sz w:val="24"/>
                <w:szCs w:val="24"/>
              </w:rPr>
              <w:t>urmatoarele</w:t>
            </w:r>
            <w:r>
              <w:rPr>
                <w:rFonts w:ascii="Times New Roman" w:hAnsi="Times New Roman" w:cs="Times New Roman"/>
                <w:sz w:val="24"/>
                <w:szCs w:val="24"/>
              </w:rPr>
              <w:t xml:space="preserve"> situatii:</w:t>
            </w:r>
          </w:p>
          <w:p w:rsidR="005C7ABC" w:rsidRDefault="005C7ABC" w:rsidP="005C7AB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la o cota de impozitare de 1%, ar fi avantajate firmele care inregistreaza o marja bruta de profit mai mare de 6,25%;</w:t>
            </w:r>
          </w:p>
          <w:p w:rsidR="005C7ABC" w:rsidRDefault="005C7ABC" w:rsidP="005C7AB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la o cota de impozitare de 2%, ar fi avantajate firmele care inregistreaza o marja bruta de profit mai mare de 12,50%;</w:t>
            </w:r>
          </w:p>
          <w:p w:rsidR="005C7ABC" w:rsidRDefault="005C7ABC" w:rsidP="005C7AB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la o cota de impozitare de 3%, ar fi avantajate firmele care inregistreaza o marja bruta de profit mai mare de 18,7</w:t>
            </w:r>
            <w:r w:rsidR="00187E52">
              <w:rPr>
                <w:rFonts w:ascii="Times New Roman" w:hAnsi="Times New Roman" w:cs="Times New Roman"/>
                <w:sz w:val="24"/>
                <w:szCs w:val="24"/>
              </w:rPr>
              <w:t>5%.</w:t>
            </w:r>
          </w:p>
          <w:p w:rsidR="005C7ABC" w:rsidRDefault="005C7ABC" w:rsidP="005C7ABC">
            <w:pPr>
              <w:jc w:val="both"/>
              <w:rPr>
                <w:rFonts w:ascii="Times New Roman" w:hAnsi="Times New Roman" w:cs="Times New Roman"/>
                <w:sz w:val="24"/>
                <w:szCs w:val="24"/>
              </w:rPr>
            </w:pPr>
            <w:r>
              <w:rPr>
                <w:rFonts w:ascii="Times New Roman" w:hAnsi="Times New Roman" w:cs="Times New Roman"/>
                <w:sz w:val="24"/>
                <w:szCs w:val="24"/>
              </w:rPr>
              <w:t xml:space="preserve">Toate companiile care inregistreaza pierderi, sau o marja bruta de profit sub aceste praguri, vor plati un impozit mai mare comparativ cu cel platit pana in prezent. O situatie speciala o reprezinta microintreprinderile (companiile cu venituri sub 500.000 EUR), care platesc deja impozit pe venit (3% daca nu au nici un angajat, sau 1% daca au cel putin un angajat). </w:t>
            </w:r>
          </w:p>
          <w:p w:rsidR="00794B79" w:rsidRDefault="00794B79" w:rsidP="005C7ABC">
            <w:pPr>
              <w:jc w:val="both"/>
              <w:rPr>
                <w:rFonts w:ascii="Times New Roman" w:hAnsi="Times New Roman" w:cs="Times New Roman"/>
                <w:sz w:val="24"/>
                <w:szCs w:val="24"/>
              </w:rPr>
            </w:pPr>
          </w:p>
          <w:p w:rsidR="005C7ABC" w:rsidRDefault="00A62F76" w:rsidP="005C7ABC">
            <w:pPr>
              <w:jc w:val="both"/>
              <w:rPr>
                <w:rFonts w:ascii="Times New Roman" w:hAnsi="Times New Roman" w:cs="Times New Roman"/>
                <w:sz w:val="24"/>
                <w:szCs w:val="24"/>
              </w:rPr>
            </w:pPr>
            <w:r>
              <w:rPr>
                <w:rFonts w:ascii="Times New Roman" w:hAnsi="Times New Roman" w:cs="Times New Roman"/>
                <w:sz w:val="24"/>
                <w:szCs w:val="24"/>
              </w:rPr>
              <w:t>Tabel</w:t>
            </w:r>
            <w:r w:rsidR="00794B79">
              <w:rPr>
                <w:rFonts w:ascii="Times New Roman" w:hAnsi="Times New Roman" w:cs="Times New Roman"/>
                <w:sz w:val="24"/>
                <w:szCs w:val="24"/>
              </w:rPr>
              <w:t>e</w:t>
            </w:r>
            <w:r w:rsidR="005C7ABC">
              <w:rPr>
                <w:rFonts w:ascii="Times New Roman" w:hAnsi="Times New Roman" w:cs="Times New Roman"/>
                <w:sz w:val="24"/>
                <w:szCs w:val="24"/>
              </w:rPr>
              <w:t>le urmatoare ilustreaza distributia numerica si valorica a companiilor care activeaza in Romania, avand in vedere situatiile financiare depuse la MFP pentru anul 2015</w:t>
            </w:r>
            <w:r w:rsidR="008456C1">
              <w:rPr>
                <w:rStyle w:val="FootnoteReference"/>
                <w:rFonts w:ascii="Times New Roman" w:hAnsi="Times New Roman" w:cs="Times New Roman"/>
                <w:sz w:val="24"/>
                <w:szCs w:val="24"/>
              </w:rPr>
              <w:footnoteReference w:id="2"/>
            </w:r>
            <w:r w:rsidR="005C7ABC">
              <w:rPr>
                <w:rFonts w:ascii="Times New Roman" w:hAnsi="Times New Roman" w:cs="Times New Roman"/>
                <w:sz w:val="24"/>
                <w:szCs w:val="24"/>
              </w:rPr>
              <w:t>.</w:t>
            </w:r>
          </w:p>
          <w:p w:rsidR="005C7ABC" w:rsidRDefault="005C7ABC" w:rsidP="005C7ABC">
            <w:pPr>
              <w:jc w:val="both"/>
              <w:rPr>
                <w:rFonts w:ascii="Times New Roman" w:hAnsi="Times New Roman" w:cs="Times New Roman"/>
                <w:sz w:val="24"/>
                <w:szCs w:val="24"/>
              </w:rPr>
            </w:pPr>
          </w:p>
          <w:p w:rsidR="005C7ABC" w:rsidRDefault="005C7ABC" w:rsidP="005C7ABC">
            <w:pPr>
              <w:jc w:val="both"/>
              <w:rPr>
                <w:rFonts w:ascii="Times New Roman" w:hAnsi="Times New Roman" w:cs="Times New Roman"/>
                <w:sz w:val="24"/>
                <w:szCs w:val="24"/>
              </w:rPr>
            </w:pPr>
            <w:r w:rsidRPr="008456C1">
              <w:rPr>
                <w:rFonts w:ascii="Times New Roman" w:hAnsi="Times New Roman" w:cs="Times New Roman"/>
                <w:b/>
                <w:sz w:val="24"/>
                <w:szCs w:val="24"/>
              </w:rPr>
              <w:t>Tabel 1.</w:t>
            </w:r>
            <w:r>
              <w:rPr>
                <w:rFonts w:ascii="Times New Roman" w:hAnsi="Times New Roman" w:cs="Times New Roman"/>
                <w:sz w:val="24"/>
                <w:szCs w:val="24"/>
              </w:rPr>
              <w:t xml:space="preserve"> Distributia numerica </w:t>
            </w:r>
            <w:r w:rsidR="00794B79">
              <w:rPr>
                <w:rFonts w:ascii="Times New Roman" w:hAnsi="Times New Roman" w:cs="Times New Roman"/>
                <w:sz w:val="24"/>
                <w:szCs w:val="24"/>
              </w:rPr>
              <w:t>(absoluta)</w:t>
            </w:r>
          </w:p>
          <w:tbl>
            <w:tblPr>
              <w:tblW w:w="10915" w:type="dxa"/>
              <w:tblLook w:val="04A0" w:firstRow="1" w:lastRow="0" w:firstColumn="1" w:lastColumn="0" w:noHBand="0" w:noVBand="1"/>
            </w:tblPr>
            <w:tblGrid>
              <w:gridCol w:w="2271"/>
              <w:gridCol w:w="1067"/>
              <w:gridCol w:w="1254"/>
              <w:gridCol w:w="1628"/>
              <w:gridCol w:w="1729"/>
              <w:gridCol w:w="1322"/>
              <w:gridCol w:w="1067"/>
            </w:tblGrid>
            <w:tr w:rsidR="00A62F76" w:rsidRPr="00A62F76" w:rsidTr="00A62F76">
              <w:trPr>
                <w:trHeight w:val="288"/>
              </w:trPr>
              <w:tc>
                <w:tcPr>
                  <w:tcW w:w="2405" w:type="dxa"/>
                  <w:tcBorders>
                    <w:top w:val="single" w:sz="4" w:space="0" w:color="auto"/>
                    <w:left w:val="single" w:sz="4" w:space="0" w:color="auto"/>
                    <w:bottom w:val="single" w:sz="4" w:space="0" w:color="auto"/>
                    <w:right w:val="single" w:sz="4" w:space="0" w:color="auto"/>
                  </w:tcBorders>
                  <w:shd w:val="clear" w:color="DCE6F1" w:fill="1F497D"/>
                  <w:noWrap/>
                  <w:vAlign w:val="center"/>
                  <w:hideMark/>
                </w:tcPr>
                <w:p w:rsidR="00A62F76" w:rsidRPr="00A62F76" w:rsidRDefault="00A62F76" w:rsidP="00A62F76">
                  <w:pPr>
                    <w:spacing w:after="0" w:line="240" w:lineRule="auto"/>
                    <w:jc w:val="center"/>
                    <w:rPr>
                      <w:rFonts w:ascii="Calibri" w:eastAsia="Times New Roman" w:hAnsi="Calibri" w:cs="Times New Roman"/>
                      <w:b/>
                      <w:bCs/>
                      <w:color w:val="FFFFFF"/>
                      <w:lang w:eastAsia="ro-RO"/>
                    </w:rPr>
                  </w:pPr>
                  <w:r w:rsidRPr="00A62F76">
                    <w:rPr>
                      <w:rFonts w:ascii="Calibri" w:eastAsia="Times New Roman" w:hAnsi="Calibri" w:cs="Times New Roman"/>
                      <w:b/>
                      <w:bCs/>
                      <w:color w:val="FFFFFF"/>
                      <w:lang w:eastAsia="ro-RO"/>
                    </w:rPr>
                    <w:t>Cifra Afaceri</w:t>
                  </w:r>
                  <w:r w:rsidR="00EF3553">
                    <w:rPr>
                      <w:rFonts w:ascii="Calibri" w:eastAsia="Times New Roman" w:hAnsi="Calibri" w:cs="Times New Roman"/>
                      <w:b/>
                      <w:bCs/>
                      <w:color w:val="FFFFFF"/>
                      <w:lang w:eastAsia="ro-RO"/>
                    </w:rPr>
                    <w:t xml:space="preserve"> (Nr)</w:t>
                  </w:r>
                </w:p>
              </w:tc>
              <w:tc>
                <w:tcPr>
                  <w:tcW w:w="1123" w:type="dxa"/>
                  <w:tcBorders>
                    <w:top w:val="single" w:sz="4" w:space="0" w:color="auto"/>
                    <w:left w:val="nil"/>
                    <w:bottom w:val="single" w:sz="4" w:space="0" w:color="auto"/>
                    <w:right w:val="single" w:sz="4" w:space="0" w:color="auto"/>
                  </w:tcBorders>
                  <w:shd w:val="clear" w:color="DCE6F1" w:fill="1F497D"/>
                  <w:noWrap/>
                  <w:vAlign w:val="center"/>
                  <w:hideMark/>
                </w:tcPr>
                <w:p w:rsidR="00A62F76" w:rsidRPr="00A62F76" w:rsidRDefault="00A62F76" w:rsidP="00A62F76">
                  <w:pPr>
                    <w:spacing w:after="0" w:line="240" w:lineRule="auto"/>
                    <w:jc w:val="center"/>
                    <w:rPr>
                      <w:rFonts w:ascii="Calibri" w:eastAsia="Times New Roman" w:hAnsi="Calibri" w:cs="Times New Roman"/>
                      <w:b/>
                      <w:bCs/>
                      <w:color w:val="FFFFFF"/>
                      <w:lang w:eastAsia="ro-RO"/>
                    </w:rPr>
                  </w:pPr>
                  <w:r w:rsidRPr="00A62F76">
                    <w:rPr>
                      <w:rFonts w:ascii="Calibri" w:eastAsia="Times New Roman" w:hAnsi="Calibri" w:cs="Times New Roman"/>
                      <w:b/>
                      <w:bCs/>
                      <w:color w:val="FFFFFF"/>
                      <w:lang w:eastAsia="ro-RO"/>
                    </w:rPr>
                    <w:t>Pierdere</w:t>
                  </w:r>
                </w:p>
              </w:tc>
              <w:tc>
                <w:tcPr>
                  <w:tcW w:w="1322" w:type="dxa"/>
                  <w:tcBorders>
                    <w:top w:val="single" w:sz="4" w:space="0" w:color="auto"/>
                    <w:left w:val="nil"/>
                    <w:bottom w:val="single" w:sz="4" w:space="0" w:color="auto"/>
                    <w:right w:val="single" w:sz="4" w:space="0" w:color="auto"/>
                  </w:tcBorders>
                  <w:shd w:val="clear" w:color="DCE6F1" w:fill="1F497D"/>
                  <w:noWrap/>
                  <w:vAlign w:val="center"/>
                  <w:hideMark/>
                </w:tcPr>
                <w:p w:rsidR="00A62F76" w:rsidRDefault="00A62F76" w:rsidP="00A62F76">
                  <w:pPr>
                    <w:spacing w:after="0" w:line="240" w:lineRule="auto"/>
                    <w:jc w:val="center"/>
                    <w:rPr>
                      <w:rFonts w:ascii="Calibri" w:eastAsia="Times New Roman" w:hAnsi="Calibri" w:cs="Times New Roman"/>
                      <w:b/>
                      <w:bCs/>
                      <w:color w:val="FFFFFF"/>
                      <w:lang w:eastAsia="ro-RO"/>
                    </w:rPr>
                  </w:pPr>
                  <w:r w:rsidRPr="00A62F76">
                    <w:rPr>
                      <w:rFonts w:ascii="Calibri" w:eastAsia="Times New Roman" w:hAnsi="Calibri" w:cs="Times New Roman"/>
                      <w:b/>
                      <w:bCs/>
                      <w:color w:val="FFFFFF"/>
                      <w:lang w:eastAsia="ro-RO"/>
                    </w:rPr>
                    <w:t>EBT</w:t>
                  </w:r>
                </w:p>
                <w:p w:rsidR="00A62F76" w:rsidRPr="00A62F76" w:rsidRDefault="00A62F76" w:rsidP="00A62F76">
                  <w:pPr>
                    <w:spacing w:after="0" w:line="240" w:lineRule="auto"/>
                    <w:jc w:val="center"/>
                    <w:rPr>
                      <w:rFonts w:ascii="Calibri" w:eastAsia="Times New Roman" w:hAnsi="Calibri" w:cs="Times New Roman"/>
                      <w:b/>
                      <w:bCs/>
                      <w:color w:val="FFFFFF"/>
                      <w:lang w:eastAsia="ro-RO"/>
                    </w:rPr>
                  </w:pPr>
                  <w:r w:rsidRPr="00A62F76">
                    <w:rPr>
                      <w:rFonts w:ascii="Calibri" w:eastAsia="Times New Roman" w:hAnsi="Calibri" w:cs="Times New Roman"/>
                      <w:b/>
                      <w:bCs/>
                      <w:color w:val="FFFFFF"/>
                      <w:lang w:eastAsia="ro-RO"/>
                    </w:rPr>
                    <w:t>0-6,25%</w:t>
                  </w:r>
                </w:p>
              </w:tc>
              <w:tc>
                <w:tcPr>
                  <w:tcW w:w="1720" w:type="dxa"/>
                  <w:tcBorders>
                    <w:top w:val="single" w:sz="4" w:space="0" w:color="auto"/>
                    <w:left w:val="nil"/>
                    <w:bottom w:val="single" w:sz="4" w:space="0" w:color="auto"/>
                    <w:right w:val="single" w:sz="4" w:space="0" w:color="auto"/>
                  </w:tcBorders>
                  <w:shd w:val="clear" w:color="DCE6F1" w:fill="1F497D"/>
                  <w:noWrap/>
                  <w:vAlign w:val="center"/>
                  <w:hideMark/>
                </w:tcPr>
                <w:p w:rsidR="00A62F76" w:rsidRDefault="00A62F76" w:rsidP="00A62F76">
                  <w:pPr>
                    <w:spacing w:after="0" w:line="240" w:lineRule="auto"/>
                    <w:jc w:val="center"/>
                    <w:rPr>
                      <w:rFonts w:ascii="Calibri" w:eastAsia="Times New Roman" w:hAnsi="Calibri" w:cs="Times New Roman"/>
                      <w:b/>
                      <w:bCs/>
                      <w:color w:val="FFFFFF"/>
                      <w:lang w:eastAsia="ro-RO"/>
                    </w:rPr>
                  </w:pPr>
                  <w:r w:rsidRPr="00A62F76">
                    <w:rPr>
                      <w:rFonts w:ascii="Calibri" w:eastAsia="Times New Roman" w:hAnsi="Calibri" w:cs="Times New Roman"/>
                      <w:b/>
                      <w:bCs/>
                      <w:color w:val="FFFFFF"/>
                      <w:lang w:eastAsia="ro-RO"/>
                    </w:rPr>
                    <w:t>EBT</w:t>
                  </w:r>
                </w:p>
                <w:p w:rsidR="00A62F76" w:rsidRPr="00A62F76" w:rsidRDefault="00A62F76" w:rsidP="00A62F76">
                  <w:pPr>
                    <w:spacing w:after="0" w:line="240" w:lineRule="auto"/>
                    <w:jc w:val="center"/>
                    <w:rPr>
                      <w:rFonts w:ascii="Calibri" w:eastAsia="Times New Roman" w:hAnsi="Calibri" w:cs="Times New Roman"/>
                      <w:b/>
                      <w:bCs/>
                      <w:color w:val="FFFFFF"/>
                      <w:lang w:eastAsia="ro-RO"/>
                    </w:rPr>
                  </w:pPr>
                  <w:r w:rsidRPr="00A62F76">
                    <w:rPr>
                      <w:rFonts w:ascii="Calibri" w:eastAsia="Times New Roman" w:hAnsi="Calibri" w:cs="Times New Roman"/>
                      <w:b/>
                      <w:bCs/>
                      <w:color w:val="FFFFFF"/>
                      <w:lang w:eastAsia="ro-RO"/>
                    </w:rPr>
                    <w:t>6,25%-12,5%</w:t>
                  </w:r>
                </w:p>
              </w:tc>
              <w:tc>
                <w:tcPr>
                  <w:tcW w:w="1828" w:type="dxa"/>
                  <w:tcBorders>
                    <w:top w:val="single" w:sz="4" w:space="0" w:color="auto"/>
                    <w:left w:val="nil"/>
                    <w:bottom w:val="single" w:sz="4" w:space="0" w:color="auto"/>
                    <w:right w:val="single" w:sz="4" w:space="0" w:color="auto"/>
                  </w:tcBorders>
                  <w:shd w:val="clear" w:color="DCE6F1" w:fill="1F497D"/>
                  <w:noWrap/>
                  <w:vAlign w:val="center"/>
                  <w:hideMark/>
                </w:tcPr>
                <w:p w:rsidR="00A62F76" w:rsidRDefault="00A62F76" w:rsidP="00A62F76">
                  <w:pPr>
                    <w:spacing w:after="0" w:line="240" w:lineRule="auto"/>
                    <w:jc w:val="center"/>
                    <w:rPr>
                      <w:rFonts w:ascii="Calibri" w:eastAsia="Times New Roman" w:hAnsi="Calibri" w:cs="Times New Roman"/>
                      <w:b/>
                      <w:bCs/>
                      <w:color w:val="FFFFFF"/>
                      <w:lang w:eastAsia="ro-RO"/>
                    </w:rPr>
                  </w:pPr>
                  <w:r w:rsidRPr="00A62F76">
                    <w:rPr>
                      <w:rFonts w:ascii="Calibri" w:eastAsia="Times New Roman" w:hAnsi="Calibri" w:cs="Times New Roman"/>
                      <w:b/>
                      <w:bCs/>
                      <w:color w:val="FFFFFF"/>
                      <w:lang w:eastAsia="ro-RO"/>
                    </w:rPr>
                    <w:t>EBT</w:t>
                  </w:r>
                </w:p>
                <w:p w:rsidR="00A62F76" w:rsidRPr="00A62F76" w:rsidRDefault="00A62F76" w:rsidP="00A62F76">
                  <w:pPr>
                    <w:spacing w:after="0" w:line="240" w:lineRule="auto"/>
                    <w:jc w:val="center"/>
                    <w:rPr>
                      <w:rFonts w:ascii="Calibri" w:eastAsia="Times New Roman" w:hAnsi="Calibri" w:cs="Times New Roman"/>
                      <w:b/>
                      <w:bCs/>
                      <w:color w:val="FFFFFF"/>
                      <w:lang w:eastAsia="ro-RO"/>
                    </w:rPr>
                  </w:pPr>
                  <w:r w:rsidRPr="00A62F76">
                    <w:rPr>
                      <w:rFonts w:ascii="Calibri" w:eastAsia="Times New Roman" w:hAnsi="Calibri" w:cs="Times New Roman"/>
                      <w:b/>
                      <w:bCs/>
                      <w:color w:val="FFFFFF"/>
                      <w:lang w:eastAsia="ro-RO"/>
                    </w:rPr>
                    <w:t>12,5%-18,75%</w:t>
                  </w:r>
                </w:p>
              </w:tc>
              <w:tc>
                <w:tcPr>
                  <w:tcW w:w="1394" w:type="dxa"/>
                  <w:tcBorders>
                    <w:top w:val="single" w:sz="4" w:space="0" w:color="auto"/>
                    <w:left w:val="nil"/>
                    <w:bottom w:val="single" w:sz="4" w:space="0" w:color="auto"/>
                    <w:right w:val="single" w:sz="4" w:space="0" w:color="auto"/>
                  </w:tcBorders>
                  <w:shd w:val="clear" w:color="DCE6F1" w:fill="1F497D"/>
                  <w:noWrap/>
                  <w:vAlign w:val="center"/>
                  <w:hideMark/>
                </w:tcPr>
                <w:p w:rsidR="00A62F76" w:rsidRPr="00A62F76" w:rsidRDefault="00A62F76" w:rsidP="00A62F76">
                  <w:pPr>
                    <w:spacing w:after="0" w:line="240" w:lineRule="auto"/>
                    <w:jc w:val="center"/>
                    <w:rPr>
                      <w:rFonts w:ascii="Calibri" w:eastAsia="Times New Roman" w:hAnsi="Calibri" w:cs="Times New Roman"/>
                      <w:b/>
                      <w:bCs/>
                      <w:color w:val="FFFFFF"/>
                      <w:lang w:eastAsia="ro-RO"/>
                    </w:rPr>
                  </w:pPr>
                  <w:r w:rsidRPr="00A62F76">
                    <w:rPr>
                      <w:rFonts w:ascii="Calibri" w:eastAsia="Times New Roman" w:hAnsi="Calibri" w:cs="Times New Roman"/>
                      <w:b/>
                      <w:bCs/>
                      <w:color w:val="FFFFFF"/>
                      <w:lang w:eastAsia="ro-RO"/>
                    </w:rPr>
                    <w:t>EBT &gt; 18,75%</w:t>
                  </w:r>
                </w:p>
              </w:tc>
              <w:tc>
                <w:tcPr>
                  <w:tcW w:w="1123" w:type="dxa"/>
                  <w:tcBorders>
                    <w:top w:val="single" w:sz="4" w:space="0" w:color="auto"/>
                    <w:left w:val="nil"/>
                    <w:bottom w:val="single" w:sz="4" w:space="0" w:color="auto"/>
                    <w:right w:val="single" w:sz="4" w:space="0" w:color="auto"/>
                  </w:tcBorders>
                  <w:shd w:val="clear" w:color="DCE6F1" w:fill="1F497D"/>
                  <w:noWrap/>
                  <w:vAlign w:val="center"/>
                  <w:hideMark/>
                </w:tcPr>
                <w:p w:rsidR="00A62F76" w:rsidRPr="00A62F76" w:rsidRDefault="00A62F76" w:rsidP="00A62F76">
                  <w:pPr>
                    <w:spacing w:after="0" w:line="240" w:lineRule="auto"/>
                    <w:jc w:val="center"/>
                    <w:rPr>
                      <w:rFonts w:ascii="Calibri" w:eastAsia="Times New Roman" w:hAnsi="Calibri" w:cs="Times New Roman"/>
                      <w:b/>
                      <w:bCs/>
                      <w:color w:val="FFFFFF"/>
                      <w:lang w:eastAsia="ro-RO"/>
                    </w:rPr>
                  </w:pPr>
                  <w:r w:rsidRPr="00A62F76">
                    <w:rPr>
                      <w:rFonts w:ascii="Calibri" w:eastAsia="Times New Roman" w:hAnsi="Calibri" w:cs="Times New Roman"/>
                      <w:b/>
                      <w:bCs/>
                      <w:color w:val="FFFFFF"/>
                      <w:lang w:eastAsia="ro-RO"/>
                    </w:rPr>
                    <w:t>Total</w:t>
                  </w:r>
                </w:p>
              </w:tc>
            </w:tr>
            <w:tr w:rsidR="00A62F76" w:rsidRPr="00A62F76" w:rsidTr="00A62F7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Fara Activitate</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p>
              </w:tc>
              <w:tc>
                <w:tcPr>
                  <w:tcW w:w="1322"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w:t>
                  </w:r>
                </w:p>
              </w:tc>
              <w:tc>
                <w:tcPr>
                  <w:tcW w:w="1720"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w:t>
                  </w:r>
                </w:p>
              </w:tc>
              <w:tc>
                <w:tcPr>
                  <w:tcW w:w="1828"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w:t>
                  </w:r>
                </w:p>
              </w:tc>
              <w:tc>
                <w:tcPr>
                  <w:tcW w:w="1394"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179.484 </w:t>
                  </w:r>
                </w:p>
              </w:tc>
            </w:tr>
            <w:tr w:rsidR="00A62F76" w:rsidRPr="00A62F76" w:rsidTr="00A62F7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0 - 500 K EUR</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142.955 </w:t>
                  </w:r>
                </w:p>
              </w:tc>
              <w:tc>
                <w:tcPr>
                  <w:tcW w:w="1322"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70.115 </w:t>
                  </w:r>
                </w:p>
              </w:tc>
              <w:tc>
                <w:tcPr>
                  <w:tcW w:w="1720"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44.129 </w:t>
                  </w:r>
                </w:p>
              </w:tc>
              <w:tc>
                <w:tcPr>
                  <w:tcW w:w="1828"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30.591 </w:t>
                  </w:r>
                </w:p>
              </w:tc>
              <w:tc>
                <w:tcPr>
                  <w:tcW w:w="1394"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139.299 </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427.089 </w:t>
                  </w:r>
                </w:p>
              </w:tc>
            </w:tr>
            <w:tr w:rsidR="00A62F76" w:rsidRPr="00A62F76" w:rsidTr="00A62F7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500 - 1000 K EUR</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2.359 </w:t>
                  </w:r>
                </w:p>
              </w:tc>
              <w:tc>
                <w:tcPr>
                  <w:tcW w:w="1322"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8.212 </w:t>
                  </w:r>
                </w:p>
              </w:tc>
              <w:tc>
                <w:tcPr>
                  <w:tcW w:w="1720"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3.637 </w:t>
                  </w:r>
                </w:p>
              </w:tc>
              <w:tc>
                <w:tcPr>
                  <w:tcW w:w="1828"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1.886 </w:t>
                  </w:r>
                </w:p>
              </w:tc>
              <w:tc>
                <w:tcPr>
                  <w:tcW w:w="1394"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3.078 </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19.172 </w:t>
                  </w:r>
                </w:p>
              </w:tc>
            </w:tr>
            <w:tr w:rsidR="00A62F76" w:rsidRPr="00A62F76" w:rsidTr="00A62F7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1 - 5 MIL EUR</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2.343 </w:t>
                  </w:r>
                </w:p>
              </w:tc>
              <w:tc>
                <w:tcPr>
                  <w:tcW w:w="1322"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8.995 </w:t>
                  </w:r>
                </w:p>
              </w:tc>
              <w:tc>
                <w:tcPr>
                  <w:tcW w:w="1720"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3.755 </w:t>
                  </w:r>
                </w:p>
              </w:tc>
              <w:tc>
                <w:tcPr>
                  <w:tcW w:w="1828"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1.887 </w:t>
                  </w:r>
                </w:p>
              </w:tc>
              <w:tc>
                <w:tcPr>
                  <w:tcW w:w="1394"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2.584 </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19.564 </w:t>
                  </w:r>
                </w:p>
              </w:tc>
            </w:tr>
            <w:tr w:rsidR="00A62F76" w:rsidRPr="00A62F76" w:rsidTr="00A62F7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5 - 10 MIL EUR</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401 </w:t>
                  </w:r>
                </w:p>
              </w:tc>
              <w:tc>
                <w:tcPr>
                  <w:tcW w:w="1322"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1.503 </w:t>
                  </w:r>
                </w:p>
              </w:tc>
              <w:tc>
                <w:tcPr>
                  <w:tcW w:w="1720"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600 </w:t>
                  </w:r>
                </w:p>
              </w:tc>
              <w:tc>
                <w:tcPr>
                  <w:tcW w:w="1828"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269 </w:t>
                  </w:r>
                </w:p>
              </w:tc>
              <w:tc>
                <w:tcPr>
                  <w:tcW w:w="1394"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284 </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3.057 </w:t>
                  </w:r>
                </w:p>
              </w:tc>
            </w:tr>
            <w:tr w:rsidR="00A62F76" w:rsidRPr="00A62F76" w:rsidTr="00A62F7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10 - 50 MIL EUR</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377 </w:t>
                  </w:r>
                </w:p>
              </w:tc>
              <w:tc>
                <w:tcPr>
                  <w:tcW w:w="1322"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1.347 </w:t>
                  </w:r>
                </w:p>
              </w:tc>
              <w:tc>
                <w:tcPr>
                  <w:tcW w:w="1720"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491 </w:t>
                  </w:r>
                </w:p>
              </w:tc>
              <w:tc>
                <w:tcPr>
                  <w:tcW w:w="1828"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197 </w:t>
                  </w:r>
                </w:p>
              </w:tc>
              <w:tc>
                <w:tcPr>
                  <w:tcW w:w="1394"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171 </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2.583 </w:t>
                  </w:r>
                </w:p>
              </w:tc>
            </w:tr>
            <w:tr w:rsidR="00A62F76" w:rsidRPr="00A62F76" w:rsidTr="00A62F7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50 - 100 MIL EUR</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42 </w:t>
                  </w:r>
                </w:p>
              </w:tc>
              <w:tc>
                <w:tcPr>
                  <w:tcW w:w="1322"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158 </w:t>
                  </w:r>
                </w:p>
              </w:tc>
              <w:tc>
                <w:tcPr>
                  <w:tcW w:w="1720"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50 </w:t>
                  </w:r>
                </w:p>
              </w:tc>
              <w:tc>
                <w:tcPr>
                  <w:tcW w:w="1828"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22 </w:t>
                  </w:r>
                </w:p>
              </w:tc>
              <w:tc>
                <w:tcPr>
                  <w:tcW w:w="1394"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16 </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288 </w:t>
                  </w:r>
                </w:p>
              </w:tc>
            </w:tr>
            <w:tr w:rsidR="00A62F76" w:rsidRPr="00A62F76" w:rsidTr="00A62F7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rPr>
                      <w:rFonts w:ascii="Calibri" w:eastAsia="Times New Roman" w:hAnsi="Calibri" w:cs="Times New Roman"/>
                      <w:color w:val="000000"/>
                      <w:lang w:eastAsia="ro-RO"/>
                    </w:rPr>
                  </w:pPr>
                  <w:r>
                    <w:rPr>
                      <w:rFonts w:ascii="Calibri" w:eastAsia="Times New Roman" w:hAnsi="Calibri" w:cs="Times New Roman"/>
                      <w:color w:val="000000"/>
                      <w:lang w:eastAsia="ro-RO"/>
                    </w:rPr>
                    <w:t>&gt;</w:t>
                  </w:r>
                  <w:r w:rsidRPr="00A62F76">
                    <w:rPr>
                      <w:rFonts w:ascii="Calibri" w:eastAsia="Times New Roman" w:hAnsi="Calibri" w:cs="Times New Roman"/>
                      <w:color w:val="000000"/>
                      <w:lang w:eastAsia="ro-RO"/>
                    </w:rPr>
                    <w:t xml:space="preserve"> 100 MIL EUR</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51 </w:t>
                  </w:r>
                </w:p>
              </w:tc>
              <w:tc>
                <w:tcPr>
                  <w:tcW w:w="1322"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144 </w:t>
                  </w:r>
                </w:p>
              </w:tc>
              <w:tc>
                <w:tcPr>
                  <w:tcW w:w="1720"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30 </w:t>
                  </w:r>
                </w:p>
              </w:tc>
              <w:tc>
                <w:tcPr>
                  <w:tcW w:w="1828"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19 </w:t>
                  </w:r>
                </w:p>
              </w:tc>
              <w:tc>
                <w:tcPr>
                  <w:tcW w:w="1394"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18 </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color w:val="000000"/>
                      <w:lang w:eastAsia="ro-RO"/>
                    </w:rPr>
                  </w:pPr>
                  <w:r w:rsidRPr="00A62F76">
                    <w:rPr>
                      <w:rFonts w:ascii="Calibri" w:eastAsia="Times New Roman" w:hAnsi="Calibri" w:cs="Times New Roman"/>
                      <w:color w:val="000000"/>
                      <w:lang w:eastAsia="ro-RO"/>
                    </w:rPr>
                    <w:t xml:space="preserve">262 </w:t>
                  </w:r>
                </w:p>
              </w:tc>
            </w:tr>
            <w:tr w:rsidR="00A62F76" w:rsidRPr="00A62F76" w:rsidTr="00A62F76">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rPr>
                      <w:rFonts w:ascii="Calibri" w:eastAsia="Times New Roman" w:hAnsi="Calibri" w:cs="Times New Roman"/>
                      <w:b/>
                      <w:bCs/>
                      <w:color w:val="000000"/>
                      <w:lang w:eastAsia="ro-RO"/>
                    </w:rPr>
                  </w:pPr>
                  <w:r w:rsidRPr="00A62F76">
                    <w:rPr>
                      <w:rFonts w:ascii="Calibri" w:eastAsia="Times New Roman" w:hAnsi="Calibri" w:cs="Times New Roman"/>
                      <w:b/>
                      <w:bCs/>
                      <w:color w:val="000000"/>
                      <w:lang w:eastAsia="ro-RO"/>
                    </w:rPr>
                    <w:t>Total</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b/>
                      <w:bCs/>
                      <w:color w:val="000000"/>
                      <w:lang w:eastAsia="ro-RO"/>
                    </w:rPr>
                  </w:pPr>
                  <w:r w:rsidRPr="00A62F76">
                    <w:rPr>
                      <w:rFonts w:ascii="Calibri" w:eastAsia="Times New Roman" w:hAnsi="Calibri" w:cs="Times New Roman"/>
                      <w:b/>
                      <w:bCs/>
                      <w:color w:val="000000"/>
                      <w:lang w:eastAsia="ro-RO"/>
                    </w:rPr>
                    <w:t xml:space="preserve">328.012 </w:t>
                  </w:r>
                </w:p>
              </w:tc>
              <w:tc>
                <w:tcPr>
                  <w:tcW w:w="1322"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b/>
                      <w:bCs/>
                      <w:color w:val="000000"/>
                      <w:lang w:eastAsia="ro-RO"/>
                    </w:rPr>
                  </w:pPr>
                  <w:r w:rsidRPr="00A62F76">
                    <w:rPr>
                      <w:rFonts w:ascii="Calibri" w:eastAsia="Times New Roman" w:hAnsi="Calibri" w:cs="Times New Roman"/>
                      <w:b/>
                      <w:bCs/>
                      <w:color w:val="000000"/>
                      <w:lang w:eastAsia="ro-RO"/>
                    </w:rPr>
                    <w:t xml:space="preserve">90.474 </w:t>
                  </w:r>
                </w:p>
              </w:tc>
              <w:tc>
                <w:tcPr>
                  <w:tcW w:w="1720"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b/>
                      <w:bCs/>
                      <w:color w:val="000000"/>
                      <w:lang w:eastAsia="ro-RO"/>
                    </w:rPr>
                  </w:pPr>
                  <w:r w:rsidRPr="00A62F76">
                    <w:rPr>
                      <w:rFonts w:ascii="Calibri" w:eastAsia="Times New Roman" w:hAnsi="Calibri" w:cs="Times New Roman"/>
                      <w:b/>
                      <w:bCs/>
                      <w:color w:val="000000"/>
                      <w:lang w:eastAsia="ro-RO"/>
                    </w:rPr>
                    <w:t xml:space="preserve">52.692 </w:t>
                  </w:r>
                </w:p>
              </w:tc>
              <w:tc>
                <w:tcPr>
                  <w:tcW w:w="1828"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b/>
                      <w:bCs/>
                      <w:color w:val="000000"/>
                      <w:lang w:eastAsia="ro-RO"/>
                    </w:rPr>
                  </w:pPr>
                  <w:r w:rsidRPr="00A62F76">
                    <w:rPr>
                      <w:rFonts w:ascii="Calibri" w:eastAsia="Times New Roman" w:hAnsi="Calibri" w:cs="Times New Roman"/>
                      <w:b/>
                      <w:bCs/>
                      <w:color w:val="000000"/>
                      <w:lang w:eastAsia="ro-RO"/>
                    </w:rPr>
                    <w:t xml:space="preserve">34.871 </w:t>
                  </w:r>
                </w:p>
              </w:tc>
              <w:tc>
                <w:tcPr>
                  <w:tcW w:w="1394"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b/>
                      <w:bCs/>
                      <w:color w:val="000000"/>
                      <w:lang w:eastAsia="ro-RO"/>
                    </w:rPr>
                  </w:pPr>
                  <w:r w:rsidRPr="00A62F76">
                    <w:rPr>
                      <w:rFonts w:ascii="Calibri" w:eastAsia="Times New Roman" w:hAnsi="Calibri" w:cs="Times New Roman"/>
                      <w:b/>
                      <w:bCs/>
                      <w:color w:val="000000"/>
                      <w:lang w:eastAsia="ro-RO"/>
                    </w:rPr>
                    <w:t xml:space="preserve">145.450 </w:t>
                  </w:r>
                </w:p>
              </w:tc>
              <w:tc>
                <w:tcPr>
                  <w:tcW w:w="1123" w:type="dxa"/>
                  <w:tcBorders>
                    <w:top w:val="nil"/>
                    <w:left w:val="nil"/>
                    <w:bottom w:val="single" w:sz="4" w:space="0" w:color="auto"/>
                    <w:right w:val="single" w:sz="4" w:space="0" w:color="auto"/>
                  </w:tcBorders>
                  <w:shd w:val="clear" w:color="auto" w:fill="auto"/>
                  <w:noWrap/>
                  <w:vAlign w:val="bottom"/>
                  <w:hideMark/>
                </w:tcPr>
                <w:p w:rsidR="00A62F76" w:rsidRPr="00A62F76" w:rsidRDefault="00A62F76" w:rsidP="00A62F76">
                  <w:pPr>
                    <w:spacing w:after="0" w:line="240" w:lineRule="auto"/>
                    <w:jc w:val="center"/>
                    <w:rPr>
                      <w:rFonts w:ascii="Calibri" w:eastAsia="Times New Roman" w:hAnsi="Calibri" w:cs="Times New Roman"/>
                      <w:b/>
                      <w:bCs/>
                      <w:color w:val="000000"/>
                      <w:lang w:eastAsia="ro-RO"/>
                    </w:rPr>
                  </w:pPr>
                  <w:r w:rsidRPr="00A62F76">
                    <w:rPr>
                      <w:rFonts w:ascii="Calibri" w:eastAsia="Times New Roman" w:hAnsi="Calibri" w:cs="Times New Roman"/>
                      <w:b/>
                      <w:bCs/>
                      <w:color w:val="000000"/>
                      <w:lang w:eastAsia="ro-RO"/>
                    </w:rPr>
                    <w:t xml:space="preserve">651.499 </w:t>
                  </w:r>
                </w:p>
              </w:tc>
            </w:tr>
          </w:tbl>
          <w:p w:rsidR="005C7ABC" w:rsidRPr="008456C1" w:rsidRDefault="005C7ABC" w:rsidP="005C7ABC">
            <w:pPr>
              <w:jc w:val="both"/>
              <w:rPr>
                <w:rFonts w:ascii="Times New Roman" w:hAnsi="Times New Roman" w:cs="Times New Roman"/>
                <w:i/>
                <w:sz w:val="24"/>
                <w:szCs w:val="24"/>
              </w:rPr>
            </w:pPr>
            <w:r w:rsidRPr="008456C1">
              <w:rPr>
                <w:rFonts w:ascii="Times New Roman" w:hAnsi="Times New Roman" w:cs="Times New Roman"/>
                <w:i/>
                <w:sz w:val="24"/>
                <w:szCs w:val="24"/>
              </w:rPr>
              <w:t>Su</w:t>
            </w:r>
            <w:r w:rsidR="001604F3">
              <w:rPr>
                <w:rFonts w:ascii="Times New Roman" w:hAnsi="Times New Roman" w:cs="Times New Roman"/>
                <w:i/>
                <w:sz w:val="24"/>
                <w:szCs w:val="24"/>
              </w:rPr>
              <w:t>rsa: MFP, date prelucrate autor. EBT = Earning Before Tax (Rezultatul Brut Impozabil)</w:t>
            </w:r>
          </w:p>
          <w:p w:rsidR="00794B79" w:rsidRDefault="00794B79" w:rsidP="005C7ABC">
            <w:pPr>
              <w:jc w:val="both"/>
              <w:rPr>
                <w:rFonts w:ascii="Times New Roman" w:hAnsi="Times New Roman" w:cs="Times New Roman"/>
                <w:sz w:val="24"/>
                <w:szCs w:val="24"/>
              </w:rPr>
            </w:pPr>
            <w:r w:rsidRPr="00794B79">
              <w:rPr>
                <w:rFonts w:ascii="Times New Roman" w:hAnsi="Times New Roman" w:cs="Times New Roman"/>
                <w:b/>
                <w:sz w:val="24"/>
                <w:szCs w:val="24"/>
              </w:rPr>
              <w:lastRenderedPageBreak/>
              <w:t>Tabel 2:</w:t>
            </w:r>
            <w:r>
              <w:rPr>
                <w:rFonts w:ascii="Times New Roman" w:hAnsi="Times New Roman" w:cs="Times New Roman"/>
                <w:sz w:val="24"/>
                <w:szCs w:val="24"/>
              </w:rPr>
              <w:t xml:space="preserve"> Distributia Numerica % (pondere)</w:t>
            </w:r>
          </w:p>
          <w:tbl>
            <w:tblPr>
              <w:tblW w:w="11280" w:type="dxa"/>
              <w:tblLook w:val="04A0" w:firstRow="1" w:lastRow="0" w:firstColumn="1" w:lastColumn="0" w:noHBand="0" w:noVBand="1"/>
            </w:tblPr>
            <w:tblGrid>
              <w:gridCol w:w="1826"/>
              <w:gridCol w:w="1122"/>
              <w:gridCol w:w="1321"/>
              <w:gridCol w:w="1718"/>
              <w:gridCol w:w="1826"/>
              <w:gridCol w:w="1393"/>
              <w:gridCol w:w="1122"/>
            </w:tblGrid>
            <w:tr w:rsidR="00794B79" w:rsidRPr="00794B79" w:rsidTr="00794B79">
              <w:trPr>
                <w:trHeight w:val="288"/>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1F497D"/>
                  <w:noWrap/>
                  <w:vAlign w:val="center"/>
                  <w:hideMark/>
                </w:tcPr>
                <w:p w:rsidR="00794B79" w:rsidRPr="00794B79" w:rsidRDefault="00EF3553" w:rsidP="00794B79">
                  <w:pPr>
                    <w:spacing w:after="0" w:line="240" w:lineRule="auto"/>
                    <w:jc w:val="center"/>
                    <w:rPr>
                      <w:rFonts w:ascii="Calibri" w:eastAsia="Times New Roman" w:hAnsi="Calibri" w:cs="Times New Roman"/>
                      <w:b/>
                      <w:bCs/>
                      <w:color w:val="FFFFFF"/>
                      <w:lang w:eastAsia="ro-RO"/>
                    </w:rPr>
                  </w:pPr>
                  <w:r>
                    <w:rPr>
                      <w:rFonts w:ascii="Calibri" w:eastAsia="Times New Roman" w:hAnsi="Calibri" w:cs="Times New Roman"/>
                      <w:b/>
                      <w:bCs/>
                      <w:color w:val="FFFFFF"/>
                      <w:lang w:eastAsia="ro-RO"/>
                    </w:rPr>
                    <w:t>Cifra</w:t>
                  </w:r>
                  <w:r w:rsidR="00794B79" w:rsidRPr="00794B79">
                    <w:rPr>
                      <w:rFonts w:ascii="Calibri" w:eastAsia="Times New Roman" w:hAnsi="Calibri" w:cs="Times New Roman"/>
                      <w:b/>
                      <w:bCs/>
                      <w:color w:val="FFFFFF"/>
                      <w:lang w:eastAsia="ro-RO"/>
                    </w:rPr>
                    <w:t>Afaceri</w:t>
                  </w:r>
                  <w:r>
                    <w:rPr>
                      <w:rFonts w:ascii="Calibri" w:eastAsia="Times New Roman" w:hAnsi="Calibri" w:cs="Times New Roman"/>
                      <w:b/>
                      <w:bCs/>
                      <w:color w:val="FFFFFF"/>
                      <w:lang w:eastAsia="ro-RO"/>
                    </w:rPr>
                    <w:t xml:space="preserve"> -Nr%</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1F497D"/>
                  <w:noWrap/>
                  <w:vAlign w:val="center"/>
                  <w:hideMark/>
                </w:tcPr>
                <w:p w:rsidR="00794B79" w:rsidRPr="00794B79" w:rsidRDefault="00794B79" w:rsidP="00794B79">
                  <w:pPr>
                    <w:spacing w:after="0" w:line="240" w:lineRule="auto"/>
                    <w:jc w:val="center"/>
                    <w:rPr>
                      <w:rFonts w:ascii="Calibri" w:eastAsia="Times New Roman" w:hAnsi="Calibri" w:cs="Times New Roman"/>
                      <w:b/>
                      <w:bCs/>
                      <w:color w:val="FFFFFF"/>
                      <w:lang w:eastAsia="ro-RO"/>
                    </w:rPr>
                  </w:pPr>
                  <w:r w:rsidRPr="00794B79">
                    <w:rPr>
                      <w:rFonts w:ascii="Calibri" w:eastAsia="Times New Roman" w:hAnsi="Calibri" w:cs="Times New Roman"/>
                      <w:b/>
                      <w:bCs/>
                      <w:color w:val="FFFFFF"/>
                      <w:lang w:eastAsia="ro-RO"/>
                    </w:rPr>
                    <w:t>Pierdere</w:t>
                  </w:r>
                </w:p>
              </w:tc>
              <w:tc>
                <w:tcPr>
                  <w:tcW w:w="1440" w:type="dxa"/>
                  <w:tcBorders>
                    <w:top w:val="single" w:sz="8" w:space="0" w:color="auto"/>
                    <w:left w:val="nil"/>
                    <w:bottom w:val="nil"/>
                    <w:right w:val="single" w:sz="8" w:space="0" w:color="auto"/>
                  </w:tcBorders>
                  <w:shd w:val="clear" w:color="000000" w:fill="1F497D"/>
                  <w:noWrap/>
                  <w:vAlign w:val="center"/>
                  <w:hideMark/>
                </w:tcPr>
                <w:p w:rsidR="00794B79" w:rsidRPr="00794B79" w:rsidRDefault="00794B79" w:rsidP="00794B79">
                  <w:pPr>
                    <w:spacing w:after="0" w:line="240" w:lineRule="auto"/>
                    <w:jc w:val="center"/>
                    <w:rPr>
                      <w:rFonts w:ascii="Calibri" w:eastAsia="Times New Roman" w:hAnsi="Calibri" w:cs="Times New Roman"/>
                      <w:b/>
                      <w:bCs/>
                      <w:color w:val="FFFFFF"/>
                      <w:lang w:eastAsia="ro-RO"/>
                    </w:rPr>
                  </w:pPr>
                  <w:r w:rsidRPr="00794B79">
                    <w:rPr>
                      <w:rFonts w:ascii="Calibri" w:eastAsia="Times New Roman" w:hAnsi="Calibri" w:cs="Times New Roman"/>
                      <w:b/>
                      <w:bCs/>
                      <w:color w:val="FFFFFF"/>
                      <w:lang w:eastAsia="ro-RO"/>
                    </w:rPr>
                    <w:t>EBT</w:t>
                  </w:r>
                </w:p>
              </w:tc>
              <w:tc>
                <w:tcPr>
                  <w:tcW w:w="1880" w:type="dxa"/>
                  <w:tcBorders>
                    <w:top w:val="single" w:sz="8" w:space="0" w:color="auto"/>
                    <w:left w:val="nil"/>
                    <w:bottom w:val="nil"/>
                    <w:right w:val="single" w:sz="8" w:space="0" w:color="auto"/>
                  </w:tcBorders>
                  <w:shd w:val="clear" w:color="000000" w:fill="1F497D"/>
                  <w:noWrap/>
                  <w:vAlign w:val="center"/>
                  <w:hideMark/>
                </w:tcPr>
                <w:p w:rsidR="00794B79" w:rsidRPr="00794B79" w:rsidRDefault="00794B79" w:rsidP="00794B79">
                  <w:pPr>
                    <w:spacing w:after="0" w:line="240" w:lineRule="auto"/>
                    <w:jc w:val="center"/>
                    <w:rPr>
                      <w:rFonts w:ascii="Calibri" w:eastAsia="Times New Roman" w:hAnsi="Calibri" w:cs="Times New Roman"/>
                      <w:b/>
                      <w:bCs/>
                      <w:color w:val="FFFFFF"/>
                      <w:lang w:eastAsia="ro-RO"/>
                    </w:rPr>
                  </w:pPr>
                  <w:r w:rsidRPr="00794B79">
                    <w:rPr>
                      <w:rFonts w:ascii="Calibri" w:eastAsia="Times New Roman" w:hAnsi="Calibri" w:cs="Times New Roman"/>
                      <w:b/>
                      <w:bCs/>
                      <w:color w:val="FFFFFF"/>
                      <w:lang w:eastAsia="ro-RO"/>
                    </w:rPr>
                    <w:t>EBT</w:t>
                  </w:r>
                </w:p>
              </w:tc>
              <w:tc>
                <w:tcPr>
                  <w:tcW w:w="2000" w:type="dxa"/>
                  <w:tcBorders>
                    <w:top w:val="single" w:sz="8" w:space="0" w:color="auto"/>
                    <w:left w:val="nil"/>
                    <w:bottom w:val="nil"/>
                    <w:right w:val="single" w:sz="8" w:space="0" w:color="auto"/>
                  </w:tcBorders>
                  <w:shd w:val="clear" w:color="000000" w:fill="1F497D"/>
                  <w:noWrap/>
                  <w:vAlign w:val="center"/>
                  <w:hideMark/>
                </w:tcPr>
                <w:p w:rsidR="00794B79" w:rsidRPr="00794B79" w:rsidRDefault="00794B79" w:rsidP="00794B79">
                  <w:pPr>
                    <w:spacing w:after="0" w:line="240" w:lineRule="auto"/>
                    <w:jc w:val="center"/>
                    <w:rPr>
                      <w:rFonts w:ascii="Calibri" w:eastAsia="Times New Roman" w:hAnsi="Calibri" w:cs="Times New Roman"/>
                      <w:b/>
                      <w:bCs/>
                      <w:color w:val="FFFFFF"/>
                      <w:lang w:eastAsia="ro-RO"/>
                    </w:rPr>
                  </w:pPr>
                  <w:r w:rsidRPr="00794B79">
                    <w:rPr>
                      <w:rFonts w:ascii="Calibri" w:eastAsia="Times New Roman" w:hAnsi="Calibri" w:cs="Times New Roman"/>
                      <w:b/>
                      <w:bCs/>
                      <w:color w:val="FFFFFF"/>
                      <w:lang w:eastAsia="ro-RO"/>
                    </w:rPr>
                    <w:t>EBT</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1F497D"/>
                  <w:noWrap/>
                  <w:vAlign w:val="center"/>
                  <w:hideMark/>
                </w:tcPr>
                <w:p w:rsidR="00794B79" w:rsidRPr="00794B79" w:rsidRDefault="00794B79" w:rsidP="00794B79">
                  <w:pPr>
                    <w:spacing w:after="0" w:line="240" w:lineRule="auto"/>
                    <w:jc w:val="center"/>
                    <w:rPr>
                      <w:rFonts w:ascii="Calibri" w:eastAsia="Times New Roman" w:hAnsi="Calibri" w:cs="Times New Roman"/>
                      <w:b/>
                      <w:bCs/>
                      <w:color w:val="FFFFFF"/>
                      <w:lang w:eastAsia="ro-RO"/>
                    </w:rPr>
                  </w:pPr>
                  <w:r w:rsidRPr="00794B79">
                    <w:rPr>
                      <w:rFonts w:ascii="Calibri" w:eastAsia="Times New Roman" w:hAnsi="Calibri" w:cs="Times New Roman"/>
                      <w:b/>
                      <w:bCs/>
                      <w:color w:val="FFFFFF"/>
                      <w:lang w:eastAsia="ro-RO"/>
                    </w:rPr>
                    <w:t>EBT &gt; 18,75%</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1F497D"/>
                  <w:noWrap/>
                  <w:vAlign w:val="center"/>
                  <w:hideMark/>
                </w:tcPr>
                <w:p w:rsidR="00794B79" w:rsidRPr="00794B79" w:rsidRDefault="00794B79" w:rsidP="00794B79">
                  <w:pPr>
                    <w:spacing w:after="0" w:line="240" w:lineRule="auto"/>
                    <w:jc w:val="center"/>
                    <w:rPr>
                      <w:rFonts w:ascii="Calibri" w:eastAsia="Times New Roman" w:hAnsi="Calibri" w:cs="Times New Roman"/>
                      <w:b/>
                      <w:bCs/>
                      <w:color w:val="FFFFFF"/>
                      <w:lang w:eastAsia="ro-RO"/>
                    </w:rPr>
                  </w:pPr>
                  <w:r w:rsidRPr="00794B79">
                    <w:rPr>
                      <w:rFonts w:ascii="Calibri" w:eastAsia="Times New Roman" w:hAnsi="Calibri" w:cs="Times New Roman"/>
                      <w:b/>
                      <w:bCs/>
                      <w:color w:val="FFFFFF"/>
                      <w:lang w:eastAsia="ro-RO"/>
                    </w:rPr>
                    <w:t>Total</w:t>
                  </w:r>
                </w:p>
              </w:tc>
            </w:tr>
            <w:tr w:rsidR="00794B79" w:rsidRPr="00794B79" w:rsidTr="00794B79">
              <w:trPr>
                <w:trHeight w:val="300"/>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794B79" w:rsidRPr="00794B79" w:rsidRDefault="00794B79" w:rsidP="00794B79">
                  <w:pPr>
                    <w:spacing w:after="0" w:line="240" w:lineRule="auto"/>
                    <w:rPr>
                      <w:rFonts w:ascii="Calibri" w:eastAsia="Times New Roman" w:hAnsi="Calibri" w:cs="Times New Roman"/>
                      <w:b/>
                      <w:bCs/>
                      <w:color w:val="FFFFFF"/>
                      <w:lang w:eastAsia="ro-RO"/>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794B79" w:rsidRPr="00794B79" w:rsidRDefault="00794B79" w:rsidP="00794B79">
                  <w:pPr>
                    <w:spacing w:after="0" w:line="240" w:lineRule="auto"/>
                    <w:rPr>
                      <w:rFonts w:ascii="Calibri" w:eastAsia="Times New Roman" w:hAnsi="Calibri" w:cs="Times New Roman"/>
                      <w:b/>
                      <w:bCs/>
                      <w:color w:val="FFFFFF"/>
                      <w:lang w:eastAsia="ro-RO"/>
                    </w:rPr>
                  </w:pPr>
                </w:p>
              </w:tc>
              <w:tc>
                <w:tcPr>
                  <w:tcW w:w="1440" w:type="dxa"/>
                  <w:tcBorders>
                    <w:top w:val="nil"/>
                    <w:left w:val="nil"/>
                    <w:bottom w:val="single" w:sz="8" w:space="0" w:color="auto"/>
                    <w:right w:val="single" w:sz="8" w:space="0" w:color="auto"/>
                  </w:tcBorders>
                  <w:shd w:val="clear" w:color="000000" w:fill="1F497D"/>
                  <w:noWrap/>
                  <w:vAlign w:val="center"/>
                  <w:hideMark/>
                </w:tcPr>
                <w:p w:rsidR="00794B79" w:rsidRPr="00794B79" w:rsidRDefault="00794B79" w:rsidP="00794B79">
                  <w:pPr>
                    <w:spacing w:after="0" w:line="240" w:lineRule="auto"/>
                    <w:jc w:val="center"/>
                    <w:rPr>
                      <w:rFonts w:ascii="Calibri" w:eastAsia="Times New Roman" w:hAnsi="Calibri" w:cs="Times New Roman"/>
                      <w:b/>
                      <w:bCs/>
                      <w:color w:val="FFFFFF"/>
                      <w:lang w:eastAsia="ro-RO"/>
                    </w:rPr>
                  </w:pPr>
                  <w:r w:rsidRPr="00794B79">
                    <w:rPr>
                      <w:rFonts w:ascii="Calibri" w:eastAsia="Times New Roman" w:hAnsi="Calibri" w:cs="Times New Roman"/>
                      <w:b/>
                      <w:bCs/>
                      <w:color w:val="FFFFFF"/>
                      <w:lang w:eastAsia="ro-RO"/>
                    </w:rPr>
                    <w:t>0-6,25%</w:t>
                  </w:r>
                </w:p>
              </w:tc>
              <w:tc>
                <w:tcPr>
                  <w:tcW w:w="1880" w:type="dxa"/>
                  <w:tcBorders>
                    <w:top w:val="nil"/>
                    <w:left w:val="nil"/>
                    <w:bottom w:val="single" w:sz="8" w:space="0" w:color="auto"/>
                    <w:right w:val="single" w:sz="8" w:space="0" w:color="auto"/>
                  </w:tcBorders>
                  <w:shd w:val="clear" w:color="000000" w:fill="1F497D"/>
                  <w:noWrap/>
                  <w:vAlign w:val="center"/>
                  <w:hideMark/>
                </w:tcPr>
                <w:p w:rsidR="00794B79" w:rsidRPr="00794B79" w:rsidRDefault="00794B79" w:rsidP="00794B79">
                  <w:pPr>
                    <w:spacing w:after="0" w:line="240" w:lineRule="auto"/>
                    <w:jc w:val="center"/>
                    <w:rPr>
                      <w:rFonts w:ascii="Calibri" w:eastAsia="Times New Roman" w:hAnsi="Calibri" w:cs="Times New Roman"/>
                      <w:b/>
                      <w:bCs/>
                      <w:color w:val="FFFFFF"/>
                      <w:lang w:eastAsia="ro-RO"/>
                    </w:rPr>
                  </w:pPr>
                  <w:r w:rsidRPr="00794B79">
                    <w:rPr>
                      <w:rFonts w:ascii="Calibri" w:eastAsia="Times New Roman" w:hAnsi="Calibri" w:cs="Times New Roman"/>
                      <w:b/>
                      <w:bCs/>
                      <w:color w:val="FFFFFF"/>
                      <w:lang w:eastAsia="ro-RO"/>
                    </w:rPr>
                    <w:t>6,25%-12,5%</w:t>
                  </w:r>
                </w:p>
              </w:tc>
              <w:tc>
                <w:tcPr>
                  <w:tcW w:w="2000" w:type="dxa"/>
                  <w:tcBorders>
                    <w:top w:val="nil"/>
                    <w:left w:val="nil"/>
                    <w:bottom w:val="single" w:sz="8" w:space="0" w:color="auto"/>
                    <w:right w:val="single" w:sz="8" w:space="0" w:color="auto"/>
                  </w:tcBorders>
                  <w:shd w:val="clear" w:color="000000" w:fill="1F497D"/>
                  <w:noWrap/>
                  <w:vAlign w:val="center"/>
                  <w:hideMark/>
                </w:tcPr>
                <w:p w:rsidR="00794B79" w:rsidRPr="00794B79" w:rsidRDefault="00794B79" w:rsidP="00794B79">
                  <w:pPr>
                    <w:spacing w:after="0" w:line="240" w:lineRule="auto"/>
                    <w:jc w:val="center"/>
                    <w:rPr>
                      <w:rFonts w:ascii="Calibri" w:eastAsia="Times New Roman" w:hAnsi="Calibri" w:cs="Times New Roman"/>
                      <w:b/>
                      <w:bCs/>
                      <w:color w:val="FFFFFF"/>
                      <w:lang w:eastAsia="ro-RO"/>
                    </w:rPr>
                  </w:pPr>
                  <w:r w:rsidRPr="00794B79">
                    <w:rPr>
                      <w:rFonts w:ascii="Calibri" w:eastAsia="Times New Roman" w:hAnsi="Calibri" w:cs="Times New Roman"/>
                      <w:b/>
                      <w:bCs/>
                      <w:color w:val="FFFFFF"/>
                      <w:lang w:eastAsia="ro-RO"/>
                    </w:rPr>
                    <w:t>12,5%-18,75%</w:t>
                  </w: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794B79" w:rsidRPr="00794B79" w:rsidRDefault="00794B79" w:rsidP="00794B79">
                  <w:pPr>
                    <w:spacing w:after="0" w:line="240" w:lineRule="auto"/>
                    <w:rPr>
                      <w:rFonts w:ascii="Calibri" w:eastAsia="Times New Roman" w:hAnsi="Calibri" w:cs="Times New Roman"/>
                      <w:b/>
                      <w:bCs/>
                      <w:color w:val="FFFFFF"/>
                      <w:lang w:eastAsia="ro-RO"/>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794B79" w:rsidRPr="00794B79" w:rsidRDefault="00794B79" w:rsidP="00794B79">
                  <w:pPr>
                    <w:spacing w:after="0" w:line="240" w:lineRule="auto"/>
                    <w:rPr>
                      <w:rFonts w:ascii="Calibri" w:eastAsia="Times New Roman" w:hAnsi="Calibri" w:cs="Times New Roman"/>
                      <w:b/>
                      <w:bCs/>
                      <w:color w:val="FFFFFF"/>
                      <w:lang w:eastAsia="ro-RO"/>
                    </w:rPr>
                  </w:pPr>
                </w:p>
              </w:tc>
            </w:tr>
            <w:tr w:rsidR="00794B79" w:rsidRPr="00794B79" w:rsidTr="00794B79">
              <w:trPr>
                <w:trHeight w:val="30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Fara Activitate</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28%</w:t>
                  </w:r>
                </w:p>
              </w:tc>
              <w:tc>
                <w:tcPr>
                  <w:tcW w:w="144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88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200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5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28%</w:t>
                  </w:r>
                </w:p>
              </w:tc>
            </w:tr>
            <w:tr w:rsidR="00794B79" w:rsidRPr="00794B79" w:rsidTr="00794B79">
              <w:trPr>
                <w:trHeight w:val="30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0 - 500 K EUR</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22%</w:t>
                  </w:r>
                </w:p>
              </w:tc>
              <w:tc>
                <w:tcPr>
                  <w:tcW w:w="144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11%</w:t>
                  </w:r>
                </w:p>
              </w:tc>
              <w:tc>
                <w:tcPr>
                  <w:tcW w:w="188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7%</w:t>
                  </w:r>
                </w:p>
              </w:tc>
              <w:tc>
                <w:tcPr>
                  <w:tcW w:w="200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5%</w:t>
                  </w:r>
                </w:p>
              </w:tc>
              <w:tc>
                <w:tcPr>
                  <w:tcW w:w="15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21%</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66%</w:t>
                  </w:r>
                </w:p>
              </w:tc>
            </w:tr>
            <w:tr w:rsidR="00794B79" w:rsidRPr="00794B79" w:rsidTr="00794B79">
              <w:trPr>
                <w:trHeight w:val="30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500 - 1000 K EUR</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44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1%</w:t>
                  </w:r>
                </w:p>
              </w:tc>
              <w:tc>
                <w:tcPr>
                  <w:tcW w:w="188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1%</w:t>
                  </w:r>
                </w:p>
              </w:tc>
              <w:tc>
                <w:tcPr>
                  <w:tcW w:w="200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5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3%</w:t>
                  </w:r>
                </w:p>
              </w:tc>
            </w:tr>
            <w:tr w:rsidR="00794B79" w:rsidRPr="00794B79" w:rsidTr="00794B79">
              <w:trPr>
                <w:trHeight w:val="30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1 - 5 MIL EUR</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44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1%</w:t>
                  </w:r>
                </w:p>
              </w:tc>
              <w:tc>
                <w:tcPr>
                  <w:tcW w:w="188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1%</w:t>
                  </w:r>
                </w:p>
              </w:tc>
              <w:tc>
                <w:tcPr>
                  <w:tcW w:w="200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5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3%</w:t>
                  </w:r>
                </w:p>
              </w:tc>
            </w:tr>
            <w:tr w:rsidR="00794B79" w:rsidRPr="00794B79" w:rsidTr="00794B79">
              <w:trPr>
                <w:trHeight w:val="30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5 - 10 MIL EUR</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44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88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200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5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r>
            <w:tr w:rsidR="00794B79" w:rsidRPr="00794B79" w:rsidTr="00794B79">
              <w:trPr>
                <w:trHeight w:val="30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10 - 50 MIL EUR</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44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88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200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5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r>
            <w:tr w:rsidR="00794B79" w:rsidRPr="00794B79" w:rsidTr="00794B79">
              <w:trPr>
                <w:trHeight w:val="30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50 - 100 MIL EUR</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44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88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200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5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r>
            <w:tr w:rsidR="00794B79" w:rsidRPr="00794B79" w:rsidTr="00794B79">
              <w:trPr>
                <w:trHeight w:val="30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&gt; 100 MIL EUR</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44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88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200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5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0%</w:t>
                  </w:r>
                </w:p>
              </w:tc>
            </w:tr>
            <w:tr w:rsidR="00794B79" w:rsidRPr="00794B79" w:rsidTr="00794B79">
              <w:trPr>
                <w:trHeight w:val="30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rPr>
                      <w:rFonts w:ascii="Calibri" w:eastAsia="Times New Roman" w:hAnsi="Calibri" w:cs="Times New Roman"/>
                      <w:b/>
                      <w:bCs/>
                      <w:color w:val="000000"/>
                      <w:lang w:eastAsia="ro-RO"/>
                    </w:rPr>
                  </w:pPr>
                  <w:r w:rsidRPr="00794B79">
                    <w:rPr>
                      <w:rFonts w:ascii="Calibri" w:eastAsia="Times New Roman" w:hAnsi="Calibri" w:cs="Times New Roman"/>
                      <w:b/>
                      <w:bCs/>
                      <w:color w:val="000000"/>
                      <w:lang w:eastAsia="ro-RO"/>
                    </w:rPr>
                    <w:t>Total</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50%</w:t>
                  </w:r>
                </w:p>
              </w:tc>
              <w:tc>
                <w:tcPr>
                  <w:tcW w:w="144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14%</w:t>
                  </w:r>
                </w:p>
              </w:tc>
              <w:tc>
                <w:tcPr>
                  <w:tcW w:w="188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8%</w:t>
                  </w:r>
                </w:p>
              </w:tc>
              <w:tc>
                <w:tcPr>
                  <w:tcW w:w="200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5%</w:t>
                  </w:r>
                </w:p>
              </w:tc>
              <w:tc>
                <w:tcPr>
                  <w:tcW w:w="15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22%</w:t>
                  </w:r>
                </w:p>
              </w:tc>
              <w:tc>
                <w:tcPr>
                  <w:tcW w:w="1220" w:type="dxa"/>
                  <w:tcBorders>
                    <w:top w:val="nil"/>
                    <w:left w:val="nil"/>
                    <w:bottom w:val="single" w:sz="8" w:space="0" w:color="auto"/>
                    <w:right w:val="single" w:sz="8" w:space="0" w:color="auto"/>
                  </w:tcBorders>
                  <w:shd w:val="clear" w:color="auto" w:fill="auto"/>
                  <w:noWrap/>
                  <w:vAlign w:val="center"/>
                  <w:hideMark/>
                </w:tcPr>
                <w:p w:rsidR="00794B79" w:rsidRPr="00794B79" w:rsidRDefault="00794B79" w:rsidP="00794B79">
                  <w:pPr>
                    <w:spacing w:after="0" w:line="240" w:lineRule="auto"/>
                    <w:jc w:val="center"/>
                    <w:rPr>
                      <w:rFonts w:ascii="Calibri" w:eastAsia="Times New Roman" w:hAnsi="Calibri" w:cs="Times New Roman"/>
                      <w:color w:val="000000"/>
                      <w:lang w:eastAsia="ro-RO"/>
                    </w:rPr>
                  </w:pPr>
                  <w:r w:rsidRPr="00794B79">
                    <w:rPr>
                      <w:rFonts w:ascii="Calibri" w:eastAsia="Times New Roman" w:hAnsi="Calibri" w:cs="Times New Roman"/>
                      <w:color w:val="000000"/>
                      <w:lang w:eastAsia="ro-RO"/>
                    </w:rPr>
                    <w:t>100%</w:t>
                  </w:r>
                </w:p>
              </w:tc>
            </w:tr>
          </w:tbl>
          <w:p w:rsidR="00EF3553" w:rsidRPr="008456C1" w:rsidRDefault="00EF3553" w:rsidP="00EF3553">
            <w:pPr>
              <w:jc w:val="both"/>
              <w:rPr>
                <w:rFonts w:ascii="Times New Roman" w:hAnsi="Times New Roman" w:cs="Times New Roman"/>
                <w:i/>
                <w:sz w:val="24"/>
                <w:szCs w:val="24"/>
              </w:rPr>
            </w:pPr>
            <w:r w:rsidRPr="008456C1">
              <w:rPr>
                <w:rFonts w:ascii="Times New Roman" w:hAnsi="Times New Roman" w:cs="Times New Roman"/>
                <w:i/>
                <w:sz w:val="24"/>
                <w:szCs w:val="24"/>
              </w:rPr>
              <w:t xml:space="preserve">Sursa: MFP, date prelucrate autor </w:t>
            </w:r>
          </w:p>
          <w:p w:rsidR="00794B79" w:rsidRDefault="00794B79" w:rsidP="005C7ABC">
            <w:pPr>
              <w:jc w:val="both"/>
              <w:rPr>
                <w:rFonts w:ascii="Times New Roman" w:hAnsi="Times New Roman" w:cs="Times New Roman"/>
                <w:sz w:val="24"/>
                <w:szCs w:val="24"/>
              </w:rPr>
            </w:pPr>
          </w:p>
          <w:p w:rsidR="00794B79" w:rsidRDefault="00EF3553" w:rsidP="005C7ABC">
            <w:pPr>
              <w:jc w:val="both"/>
              <w:rPr>
                <w:rFonts w:ascii="Times New Roman" w:hAnsi="Times New Roman" w:cs="Times New Roman"/>
                <w:sz w:val="24"/>
                <w:szCs w:val="24"/>
              </w:rPr>
            </w:pPr>
            <w:r w:rsidRPr="00EF3553">
              <w:rPr>
                <w:rFonts w:ascii="Times New Roman" w:hAnsi="Times New Roman" w:cs="Times New Roman"/>
                <w:b/>
                <w:sz w:val="24"/>
                <w:szCs w:val="24"/>
              </w:rPr>
              <w:t>Tabel 3:</w:t>
            </w:r>
            <w:r>
              <w:rPr>
                <w:rFonts w:ascii="Times New Roman" w:hAnsi="Times New Roman" w:cs="Times New Roman"/>
                <w:sz w:val="24"/>
                <w:szCs w:val="24"/>
              </w:rPr>
              <w:t xml:space="preserve"> Distributia valorica</w:t>
            </w:r>
            <w:r w:rsidR="00187E52">
              <w:rPr>
                <w:rFonts w:ascii="Times New Roman" w:hAnsi="Times New Roman" w:cs="Times New Roman"/>
                <w:sz w:val="24"/>
                <w:szCs w:val="24"/>
              </w:rPr>
              <w:t xml:space="preserve"> (absoluta)</w:t>
            </w:r>
            <w:r w:rsidR="0062645F">
              <w:rPr>
                <w:rFonts w:ascii="Times New Roman" w:hAnsi="Times New Roman" w:cs="Times New Roman"/>
                <w:sz w:val="24"/>
                <w:szCs w:val="24"/>
              </w:rPr>
              <w:t xml:space="preserve"> – cifra de afaceri</w:t>
            </w:r>
            <w:r w:rsidR="003E4CA8">
              <w:rPr>
                <w:rFonts w:ascii="Times New Roman" w:hAnsi="Times New Roman" w:cs="Times New Roman"/>
                <w:sz w:val="24"/>
                <w:szCs w:val="24"/>
              </w:rPr>
              <w:t xml:space="preserve"> mld RON</w:t>
            </w:r>
          </w:p>
          <w:tbl>
            <w:tblPr>
              <w:tblW w:w="10182" w:type="dxa"/>
              <w:tblLook w:val="04A0" w:firstRow="1" w:lastRow="0" w:firstColumn="1" w:lastColumn="0" w:noHBand="0" w:noVBand="1"/>
            </w:tblPr>
            <w:tblGrid>
              <w:gridCol w:w="2432"/>
              <w:gridCol w:w="1169"/>
              <w:gridCol w:w="1274"/>
              <w:gridCol w:w="1499"/>
              <w:gridCol w:w="1759"/>
              <w:gridCol w:w="1343"/>
              <w:gridCol w:w="718"/>
            </w:tblGrid>
            <w:tr w:rsidR="00EF3553" w:rsidRPr="00EF3553" w:rsidTr="00EF3553">
              <w:trPr>
                <w:trHeight w:val="288"/>
              </w:trPr>
              <w:tc>
                <w:tcPr>
                  <w:tcW w:w="2432" w:type="dxa"/>
                  <w:tcBorders>
                    <w:top w:val="single" w:sz="4" w:space="0" w:color="auto"/>
                    <w:left w:val="single" w:sz="4" w:space="0" w:color="auto"/>
                    <w:bottom w:val="single" w:sz="4" w:space="0" w:color="auto"/>
                    <w:right w:val="single" w:sz="4" w:space="0" w:color="auto"/>
                  </w:tcBorders>
                  <w:shd w:val="clear" w:color="DCE6F1" w:fill="1F497D"/>
                  <w:noWrap/>
                  <w:vAlign w:val="center"/>
                  <w:hideMark/>
                </w:tcPr>
                <w:p w:rsidR="00EF3553" w:rsidRPr="00EF3553" w:rsidRDefault="003E4CA8" w:rsidP="003E4CA8">
                  <w:pPr>
                    <w:spacing w:after="0" w:line="240" w:lineRule="auto"/>
                    <w:rPr>
                      <w:rFonts w:ascii="Calibri" w:eastAsia="Times New Roman" w:hAnsi="Calibri" w:cs="Times New Roman"/>
                      <w:b/>
                      <w:bCs/>
                      <w:color w:val="FFFFFF"/>
                      <w:lang w:eastAsia="ro-RO"/>
                    </w:rPr>
                  </w:pPr>
                  <w:r>
                    <w:rPr>
                      <w:rFonts w:ascii="Calibri" w:eastAsia="Times New Roman" w:hAnsi="Calibri" w:cs="Times New Roman"/>
                      <w:b/>
                      <w:bCs/>
                      <w:color w:val="FFFFFF"/>
                      <w:lang w:eastAsia="ro-RO"/>
                    </w:rPr>
                    <w:t>Cifra Afaceri</w:t>
                  </w:r>
                </w:p>
              </w:tc>
              <w:tc>
                <w:tcPr>
                  <w:tcW w:w="1169" w:type="dxa"/>
                  <w:tcBorders>
                    <w:top w:val="single" w:sz="4" w:space="0" w:color="auto"/>
                    <w:left w:val="nil"/>
                    <w:bottom w:val="single" w:sz="4" w:space="0" w:color="auto"/>
                    <w:right w:val="single" w:sz="4" w:space="0" w:color="auto"/>
                  </w:tcBorders>
                  <w:shd w:val="clear" w:color="DCE6F1" w:fill="1F497D"/>
                  <w:noWrap/>
                  <w:vAlign w:val="center"/>
                  <w:hideMark/>
                </w:tcPr>
                <w:p w:rsidR="00EF3553" w:rsidRPr="00EF3553" w:rsidRDefault="00EF3553" w:rsidP="00EF3553">
                  <w:pPr>
                    <w:spacing w:after="0" w:line="240" w:lineRule="auto"/>
                    <w:jc w:val="center"/>
                    <w:rPr>
                      <w:rFonts w:ascii="Calibri" w:eastAsia="Times New Roman" w:hAnsi="Calibri" w:cs="Times New Roman"/>
                      <w:b/>
                      <w:bCs/>
                      <w:color w:val="FFFFFF"/>
                      <w:lang w:eastAsia="ro-RO"/>
                    </w:rPr>
                  </w:pPr>
                  <w:r w:rsidRPr="00EF3553">
                    <w:rPr>
                      <w:rFonts w:ascii="Calibri" w:eastAsia="Times New Roman" w:hAnsi="Calibri" w:cs="Times New Roman"/>
                      <w:b/>
                      <w:bCs/>
                      <w:color w:val="FFFFFF"/>
                      <w:lang w:eastAsia="ro-RO"/>
                    </w:rPr>
                    <w:t>Pierdere</w:t>
                  </w:r>
                </w:p>
              </w:tc>
              <w:tc>
                <w:tcPr>
                  <w:tcW w:w="1274" w:type="dxa"/>
                  <w:tcBorders>
                    <w:top w:val="single" w:sz="4" w:space="0" w:color="auto"/>
                    <w:left w:val="nil"/>
                    <w:bottom w:val="single" w:sz="4" w:space="0" w:color="auto"/>
                    <w:right w:val="single" w:sz="4" w:space="0" w:color="auto"/>
                  </w:tcBorders>
                  <w:shd w:val="clear" w:color="DCE6F1" w:fill="1F497D"/>
                  <w:noWrap/>
                  <w:vAlign w:val="center"/>
                  <w:hideMark/>
                </w:tcPr>
                <w:p w:rsidR="00EF3553" w:rsidRDefault="00EF3553" w:rsidP="00EF3553">
                  <w:pPr>
                    <w:spacing w:after="0" w:line="240" w:lineRule="auto"/>
                    <w:jc w:val="center"/>
                    <w:rPr>
                      <w:rFonts w:ascii="Calibri" w:eastAsia="Times New Roman" w:hAnsi="Calibri" w:cs="Times New Roman"/>
                      <w:b/>
                      <w:bCs/>
                      <w:color w:val="FFFFFF"/>
                      <w:lang w:eastAsia="ro-RO"/>
                    </w:rPr>
                  </w:pPr>
                  <w:r w:rsidRPr="00EF3553">
                    <w:rPr>
                      <w:rFonts w:ascii="Calibri" w:eastAsia="Times New Roman" w:hAnsi="Calibri" w:cs="Times New Roman"/>
                      <w:b/>
                      <w:bCs/>
                      <w:color w:val="FFFFFF"/>
                      <w:lang w:eastAsia="ro-RO"/>
                    </w:rPr>
                    <w:t>EBT</w:t>
                  </w:r>
                </w:p>
                <w:p w:rsidR="00EF3553" w:rsidRPr="00EF3553" w:rsidRDefault="00EF3553" w:rsidP="00EF3553">
                  <w:pPr>
                    <w:spacing w:after="0" w:line="240" w:lineRule="auto"/>
                    <w:jc w:val="center"/>
                    <w:rPr>
                      <w:rFonts w:ascii="Calibri" w:eastAsia="Times New Roman" w:hAnsi="Calibri" w:cs="Times New Roman"/>
                      <w:b/>
                      <w:bCs/>
                      <w:color w:val="FFFFFF"/>
                      <w:lang w:eastAsia="ro-RO"/>
                    </w:rPr>
                  </w:pPr>
                  <w:r w:rsidRPr="00EF3553">
                    <w:rPr>
                      <w:rFonts w:ascii="Calibri" w:eastAsia="Times New Roman" w:hAnsi="Calibri" w:cs="Times New Roman"/>
                      <w:b/>
                      <w:bCs/>
                      <w:color w:val="FFFFFF"/>
                      <w:lang w:eastAsia="ro-RO"/>
                    </w:rPr>
                    <w:t>0-6,25%</w:t>
                  </w:r>
                </w:p>
              </w:tc>
              <w:tc>
                <w:tcPr>
                  <w:tcW w:w="1499" w:type="dxa"/>
                  <w:tcBorders>
                    <w:top w:val="single" w:sz="4" w:space="0" w:color="auto"/>
                    <w:left w:val="nil"/>
                    <w:bottom w:val="single" w:sz="4" w:space="0" w:color="auto"/>
                    <w:right w:val="single" w:sz="4" w:space="0" w:color="auto"/>
                  </w:tcBorders>
                  <w:shd w:val="clear" w:color="DCE6F1" w:fill="1F497D"/>
                  <w:noWrap/>
                  <w:vAlign w:val="center"/>
                  <w:hideMark/>
                </w:tcPr>
                <w:p w:rsidR="00EF3553" w:rsidRDefault="00EF3553" w:rsidP="00EF3553">
                  <w:pPr>
                    <w:spacing w:after="0" w:line="240" w:lineRule="auto"/>
                    <w:jc w:val="center"/>
                    <w:rPr>
                      <w:rFonts w:ascii="Calibri" w:eastAsia="Times New Roman" w:hAnsi="Calibri" w:cs="Times New Roman"/>
                      <w:b/>
                      <w:bCs/>
                      <w:color w:val="FFFFFF"/>
                      <w:lang w:eastAsia="ro-RO"/>
                    </w:rPr>
                  </w:pPr>
                  <w:r w:rsidRPr="00EF3553">
                    <w:rPr>
                      <w:rFonts w:ascii="Calibri" w:eastAsia="Times New Roman" w:hAnsi="Calibri" w:cs="Times New Roman"/>
                      <w:b/>
                      <w:bCs/>
                      <w:color w:val="FFFFFF"/>
                      <w:lang w:eastAsia="ro-RO"/>
                    </w:rPr>
                    <w:t>EBT</w:t>
                  </w:r>
                </w:p>
                <w:p w:rsidR="00EF3553" w:rsidRPr="00EF3553" w:rsidRDefault="00EF3553" w:rsidP="00EF3553">
                  <w:pPr>
                    <w:spacing w:after="0" w:line="240" w:lineRule="auto"/>
                    <w:jc w:val="center"/>
                    <w:rPr>
                      <w:rFonts w:ascii="Calibri" w:eastAsia="Times New Roman" w:hAnsi="Calibri" w:cs="Times New Roman"/>
                      <w:b/>
                      <w:bCs/>
                      <w:color w:val="FFFFFF"/>
                      <w:lang w:eastAsia="ro-RO"/>
                    </w:rPr>
                  </w:pPr>
                  <w:r w:rsidRPr="00EF3553">
                    <w:rPr>
                      <w:rFonts w:ascii="Calibri" w:eastAsia="Times New Roman" w:hAnsi="Calibri" w:cs="Times New Roman"/>
                      <w:b/>
                      <w:bCs/>
                      <w:color w:val="FFFFFF"/>
                      <w:lang w:eastAsia="ro-RO"/>
                    </w:rPr>
                    <w:t>6,25%-12,5%</w:t>
                  </w:r>
                </w:p>
              </w:tc>
              <w:tc>
                <w:tcPr>
                  <w:tcW w:w="1759" w:type="dxa"/>
                  <w:tcBorders>
                    <w:top w:val="single" w:sz="4" w:space="0" w:color="auto"/>
                    <w:left w:val="nil"/>
                    <w:bottom w:val="single" w:sz="4" w:space="0" w:color="auto"/>
                    <w:right w:val="single" w:sz="4" w:space="0" w:color="auto"/>
                  </w:tcBorders>
                  <w:shd w:val="clear" w:color="DCE6F1" w:fill="1F497D"/>
                  <w:noWrap/>
                  <w:vAlign w:val="center"/>
                  <w:hideMark/>
                </w:tcPr>
                <w:p w:rsidR="00EF3553" w:rsidRDefault="00EF3553" w:rsidP="00EF3553">
                  <w:pPr>
                    <w:spacing w:after="0" w:line="240" w:lineRule="auto"/>
                    <w:jc w:val="center"/>
                    <w:rPr>
                      <w:rFonts w:ascii="Calibri" w:eastAsia="Times New Roman" w:hAnsi="Calibri" w:cs="Times New Roman"/>
                      <w:b/>
                      <w:bCs/>
                      <w:color w:val="FFFFFF"/>
                      <w:lang w:eastAsia="ro-RO"/>
                    </w:rPr>
                  </w:pPr>
                  <w:r w:rsidRPr="00EF3553">
                    <w:rPr>
                      <w:rFonts w:ascii="Calibri" w:eastAsia="Times New Roman" w:hAnsi="Calibri" w:cs="Times New Roman"/>
                      <w:b/>
                      <w:bCs/>
                      <w:color w:val="FFFFFF"/>
                      <w:lang w:eastAsia="ro-RO"/>
                    </w:rPr>
                    <w:t>EBT</w:t>
                  </w:r>
                </w:p>
                <w:p w:rsidR="00EF3553" w:rsidRPr="00EF3553" w:rsidRDefault="00EF3553" w:rsidP="00EF3553">
                  <w:pPr>
                    <w:spacing w:after="0" w:line="240" w:lineRule="auto"/>
                    <w:jc w:val="center"/>
                    <w:rPr>
                      <w:rFonts w:ascii="Calibri" w:eastAsia="Times New Roman" w:hAnsi="Calibri" w:cs="Times New Roman"/>
                      <w:b/>
                      <w:bCs/>
                      <w:color w:val="FFFFFF"/>
                      <w:lang w:eastAsia="ro-RO"/>
                    </w:rPr>
                  </w:pPr>
                  <w:r w:rsidRPr="00EF3553">
                    <w:rPr>
                      <w:rFonts w:ascii="Calibri" w:eastAsia="Times New Roman" w:hAnsi="Calibri" w:cs="Times New Roman"/>
                      <w:b/>
                      <w:bCs/>
                      <w:color w:val="FFFFFF"/>
                      <w:lang w:eastAsia="ro-RO"/>
                    </w:rPr>
                    <w:t>12,5%-18,75%</w:t>
                  </w:r>
                </w:p>
              </w:tc>
              <w:tc>
                <w:tcPr>
                  <w:tcW w:w="1343" w:type="dxa"/>
                  <w:tcBorders>
                    <w:top w:val="single" w:sz="4" w:space="0" w:color="auto"/>
                    <w:left w:val="nil"/>
                    <w:bottom w:val="single" w:sz="4" w:space="0" w:color="auto"/>
                    <w:right w:val="single" w:sz="4" w:space="0" w:color="auto"/>
                  </w:tcBorders>
                  <w:shd w:val="clear" w:color="DCE6F1" w:fill="1F497D"/>
                  <w:noWrap/>
                  <w:vAlign w:val="center"/>
                  <w:hideMark/>
                </w:tcPr>
                <w:p w:rsidR="00EF3553" w:rsidRPr="00EF3553" w:rsidRDefault="00EF3553" w:rsidP="00EF3553">
                  <w:pPr>
                    <w:spacing w:after="0" w:line="240" w:lineRule="auto"/>
                    <w:jc w:val="center"/>
                    <w:rPr>
                      <w:rFonts w:ascii="Calibri" w:eastAsia="Times New Roman" w:hAnsi="Calibri" w:cs="Times New Roman"/>
                      <w:b/>
                      <w:bCs/>
                      <w:color w:val="FFFFFF"/>
                      <w:lang w:eastAsia="ro-RO"/>
                    </w:rPr>
                  </w:pPr>
                  <w:r w:rsidRPr="00EF3553">
                    <w:rPr>
                      <w:rFonts w:ascii="Calibri" w:eastAsia="Times New Roman" w:hAnsi="Calibri" w:cs="Times New Roman"/>
                      <w:b/>
                      <w:bCs/>
                      <w:color w:val="FFFFFF"/>
                      <w:lang w:eastAsia="ro-RO"/>
                    </w:rPr>
                    <w:t>EBT &gt; 18,75%</w:t>
                  </w:r>
                </w:p>
              </w:tc>
              <w:tc>
                <w:tcPr>
                  <w:tcW w:w="706" w:type="dxa"/>
                  <w:tcBorders>
                    <w:top w:val="single" w:sz="4" w:space="0" w:color="auto"/>
                    <w:left w:val="nil"/>
                    <w:bottom w:val="single" w:sz="4" w:space="0" w:color="auto"/>
                    <w:right w:val="single" w:sz="4" w:space="0" w:color="auto"/>
                  </w:tcBorders>
                  <w:shd w:val="clear" w:color="DCE6F1" w:fill="1F497D"/>
                  <w:noWrap/>
                  <w:vAlign w:val="center"/>
                  <w:hideMark/>
                </w:tcPr>
                <w:p w:rsidR="00EF3553" w:rsidRPr="00EF3553" w:rsidRDefault="00EF3553" w:rsidP="00EF3553">
                  <w:pPr>
                    <w:spacing w:after="0" w:line="240" w:lineRule="auto"/>
                    <w:jc w:val="center"/>
                    <w:rPr>
                      <w:rFonts w:ascii="Calibri" w:eastAsia="Times New Roman" w:hAnsi="Calibri" w:cs="Times New Roman"/>
                      <w:b/>
                      <w:bCs/>
                      <w:color w:val="FFFFFF"/>
                      <w:lang w:eastAsia="ro-RO"/>
                    </w:rPr>
                  </w:pPr>
                  <w:r w:rsidRPr="00EF3553">
                    <w:rPr>
                      <w:rFonts w:ascii="Calibri" w:eastAsia="Times New Roman" w:hAnsi="Calibri" w:cs="Times New Roman"/>
                      <w:b/>
                      <w:bCs/>
                      <w:color w:val="FFFFFF"/>
                      <w:lang w:eastAsia="ro-RO"/>
                    </w:rPr>
                    <w:t>Total</w:t>
                  </w:r>
                </w:p>
              </w:tc>
            </w:tr>
            <w:tr w:rsidR="00EF3553" w:rsidRPr="00EF3553" w:rsidTr="00EF3553">
              <w:trPr>
                <w:trHeight w:val="288"/>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Fara Activitate</w:t>
                  </w:r>
                </w:p>
              </w:tc>
              <w:tc>
                <w:tcPr>
                  <w:tcW w:w="116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0 </w:t>
                  </w:r>
                </w:p>
              </w:tc>
              <w:tc>
                <w:tcPr>
                  <w:tcW w:w="1274"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0 </w:t>
                  </w:r>
                </w:p>
              </w:tc>
              <w:tc>
                <w:tcPr>
                  <w:tcW w:w="149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0 </w:t>
                  </w:r>
                </w:p>
              </w:tc>
              <w:tc>
                <w:tcPr>
                  <w:tcW w:w="175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0 </w:t>
                  </w:r>
                </w:p>
              </w:tc>
              <w:tc>
                <w:tcPr>
                  <w:tcW w:w="1343"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0 </w:t>
                  </w:r>
                </w:p>
              </w:tc>
              <w:tc>
                <w:tcPr>
                  <w:tcW w:w="706"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0 </w:t>
                  </w:r>
                </w:p>
              </w:tc>
            </w:tr>
            <w:tr w:rsidR="00EF3553" w:rsidRPr="00EF3553" w:rsidTr="00EF3553">
              <w:trPr>
                <w:trHeight w:val="288"/>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0 - 500 K EUR</w:t>
                  </w:r>
                </w:p>
              </w:tc>
              <w:tc>
                <w:tcPr>
                  <w:tcW w:w="116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25 </w:t>
                  </w:r>
                </w:p>
              </w:tc>
              <w:tc>
                <w:tcPr>
                  <w:tcW w:w="1274"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40 </w:t>
                  </w:r>
                </w:p>
              </w:tc>
              <w:tc>
                <w:tcPr>
                  <w:tcW w:w="149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19 </w:t>
                  </w:r>
                </w:p>
              </w:tc>
              <w:tc>
                <w:tcPr>
                  <w:tcW w:w="175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11 </w:t>
                  </w:r>
                </w:p>
              </w:tc>
              <w:tc>
                <w:tcPr>
                  <w:tcW w:w="1343"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30 </w:t>
                  </w:r>
                </w:p>
              </w:tc>
              <w:tc>
                <w:tcPr>
                  <w:tcW w:w="706"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125 </w:t>
                  </w:r>
                </w:p>
              </w:tc>
            </w:tr>
            <w:tr w:rsidR="00EF3553" w:rsidRPr="00EF3553" w:rsidTr="00EF3553">
              <w:trPr>
                <w:trHeight w:val="288"/>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500 - 1000 K EUR</w:t>
                  </w:r>
                </w:p>
              </w:tc>
              <w:tc>
                <w:tcPr>
                  <w:tcW w:w="116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7 </w:t>
                  </w:r>
                </w:p>
              </w:tc>
              <w:tc>
                <w:tcPr>
                  <w:tcW w:w="1274"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26 </w:t>
                  </w:r>
                </w:p>
              </w:tc>
              <w:tc>
                <w:tcPr>
                  <w:tcW w:w="149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11 </w:t>
                  </w:r>
                </w:p>
              </w:tc>
              <w:tc>
                <w:tcPr>
                  <w:tcW w:w="175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6 </w:t>
                  </w:r>
                </w:p>
              </w:tc>
              <w:tc>
                <w:tcPr>
                  <w:tcW w:w="1343"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10 </w:t>
                  </w:r>
                </w:p>
              </w:tc>
              <w:tc>
                <w:tcPr>
                  <w:tcW w:w="706"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60 </w:t>
                  </w:r>
                </w:p>
              </w:tc>
            </w:tr>
            <w:tr w:rsidR="00EF3553" w:rsidRPr="00EF3553" w:rsidTr="00EF3553">
              <w:trPr>
                <w:trHeight w:val="288"/>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1 - 5 MIL EUR</w:t>
                  </w:r>
                </w:p>
              </w:tc>
              <w:tc>
                <w:tcPr>
                  <w:tcW w:w="116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22 </w:t>
                  </w:r>
                </w:p>
              </w:tc>
              <w:tc>
                <w:tcPr>
                  <w:tcW w:w="1274"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85 </w:t>
                  </w:r>
                </w:p>
              </w:tc>
              <w:tc>
                <w:tcPr>
                  <w:tcW w:w="149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35 </w:t>
                  </w:r>
                </w:p>
              </w:tc>
              <w:tc>
                <w:tcPr>
                  <w:tcW w:w="175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18 </w:t>
                  </w:r>
                </w:p>
              </w:tc>
              <w:tc>
                <w:tcPr>
                  <w:tcW w:w="1343"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23 </w:t>
                  </w:r>
                </w:p>
              </w:tc>
              <w:tc>
                <w:tcPr>
                  <w:tcW w:w="706"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183 </w:t>
                  </w:r>
                </w:p>
              </w:tc>
            </w:tr>
            <w:tr w:rsidR="00EF3553" w:rsidRPr="00EF3553" w:rsidTr="00EF3553">
              <w:trPr>
                <w:trHeight w:val="288"/>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5 - 10 MIL EUR</w:t>
                  </w:r>
                </w:p>
              </w:tc>
              <w:tc>
                <w:tcPr>
                  <w:tcW w:w="116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12 </w:t>
                  </w:r>
                </w:p>
              </w:tc>
              <w:tc>
                <w:tcPr>
                  <w:tcW w:w="1274"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47 </w:t>
                  </w:r>
                </w:p>
              </w:tc>
              <w:tc>
                <w:tcPr>
                  <w:tcW w:w="149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19 </w:t>
                  </w:r>
                </w:p>
              </w:tc>
              <w:tc>
                <w:tcPr>
                  <w:tcW w:w="175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8 </w:t>
                  </w:r>
                </w:p>
              </w:tc>
              <w:tc>
                <w:tcPr>
                  <w:tcW w:w="1343"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9 </w:t>
                  </w:r>
                </w:p>
              </w:tc>
              <w:tc>
                <w:tcPr>
                  <w:tcW w:w="706"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95 </w:t>
                  </w:r>
                </w:p>
              </w:tc>
            </w:tr>
            <w:tr w:rsidR="00EF3553" w:rsidRPr="00EF3553" w:rsidTr="00EF3553">
              <w:trPr>
                <w:trHeight w:val="288"/>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10 - 50 MIL EUR</w:t>
                  </w:r>
                </w:p>
              </w:tc>
              <w:tc>
                <w:tcPr>
                  <w:tcW w:w="116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35 </w:t>
                  </w:r>
                </w:p>
              </w:tc>
              <w:tc>
                <w:tcPr>
                  <w:tcW w:w="1274"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121 </w:t>
                  </w:r>
                </w:p>
              </w:tc>
              <w:tc>
                <w:tcPr>
                  <w:tcW w:w="149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44 </w:t>
                  </w:r>
                </w:p>
              </w:tc>
              <w:tc>
                <w:tcPr>
                  <w:tcW w:w="175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17 </w:t>
                  </w:r>
                </w:p>
              </w:tc>
              <w:tc>
                <w:tcPr>
                  <w:tcW w:w="1343"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15 </w:t>
                  </w:r>
                </w:p>
              </w:tc>
              <w:tc>
                <w:tcPr>
                  <w:tcW w:w="706"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231 </w:t>
                  </w:r>
                </w:p>
              </w:tc>
            </w:tr>
            <w:tr w:rsidR="00EF3553" w:rsidRPr="00EF3553" w:rsidTr="00EF3553">
              <w:trPr>
                <w:trHeight w:val="288"/>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50 - 100 MIL EUR</w:t>
                  </w:r>
                </w:p>
              </w:tc>
              <w:tc>
                <w:tcPr>
                  <w:tcW w:w="116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13 </w:t>
                  </w:r>
                </w:p>
              </w:tc>
              <w:tc>
                <w:tcPr>
                  <w:tcW w:w="1274"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48 </w:t>
                  </w:r>
                </w:p>
              </w:tc>
              <w:tc>
                <w:tcPr>
                  <w:tcW w:w="149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15 </w:t>
                  </w:r>
                </w:p>
              </w:tc>
              <w:tc>
                <w:tcPr>
                  <w:tcW w:w="175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7 </w:t>
                  </w:r>
                </w:p>
              </w:tc>
              <w:tc>
                <w:tcPr>
                  <w:tcW w:w="1343"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5 </w:t>
                  </w:r>
                </w:p>
              </w:tc>
              <w:tc>
                <w:tcPr>
                  <w:tcW w:w="706"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88 </w:t>
                  </w:r>
                </w:p>
              </w:tc>
            </w:tr>
            <w:tr w:rsidR="00EF3553" w:rsidRPr="00EF3553" w:rsidTr="00EF3553">
              <w:trPr>
                <w:trHeight w:val="288"/>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Peste 100 MIL EUR</w:t>
                  </w:r>
                </w:p>
              </w:tc>
              <w:tc>
                <w:tcPr>
                  <w:tcW w:w="116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92 </w:t>
                  </w:r>
                </w:p>
              </w:tc>
              <w:tc>
                <w:tcPr>
                  <w:tcW w:w="1274"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221 </w:t>
                  </w:r>
                </w:p>
              </w:tc>
              <w:tc>
                <w:tcPr>
                  <w:tcW w:w="149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54 </w:t>
                  </w:r>
                </w:p>
              </w:tc>
              <w:tc>
                <w:tcPr>
                  <w:tcW w:w="175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22 </w:t>
                  </w:r>
                </w:p>
              </w:tc>
              <w:tc>
                <w:tcPr>
                  <w:tcW w:w="1343"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23 </w:t>
                  </w:r>
                </w:p>
              </w:tc>
              <w:tc>
                <w:tcPr>
                  <w:tcW w:w="706"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412 </w:t>
                  </w:r>
                </w:p>
              </w:tc>
            </w:tr>
            <w:tr w:rsidR="00EF3553" w:rsidRPr="00EF3553" w:rsidTr="00EF3553">
              <w:trPr>
                <w:trHeight w:val="288"/>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rPr>
                      <w:rFonts w:ascii="Calibri" w:eastAsia="Times New Roman" w:hAnsi="Calibri" w:cs="Times New Roman"/>
                      <w:b/>
                      <w:bCs/>
                      <w:color w:val="000000"/>
                      <w:lang w:eastAsia="ro-RO"/>
                    </w:rPr>
                  </w:pPr>
                  <w:r w:rsidRPr="00EF3553">
                    <w:rPr>
                      <w:rFonts w:ascii="Calibri" w:eastAsia="Times New Roman" w:hAnsi="Calibri" w:cs="Times New Roman"/>
                      <w:b/>
                      <w:bCs/>
                      <w:color w:val="000000"/>
                      <w:lang w:eastAsia="ro-RO"/>
                    </w:rPr>
                    <w:t>Total</w:t>
                  </w:r>
                </w:p>
              </w:tc>
              <w:tc>
                <w:tcPr>
                  <w:tcW w:w="116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207 </w:t>
                  </w:r>
                </w:p>
              </w:tc>
              <w:tc>
                <w:tcPr>
                  <w:tcW w:w="1274"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587 </w:t>
                  </w:r>
                </w:p>
              </w:tc>
              <w:tc>
                <w:tcPr>
                  <w:tcW w:w="149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198 </w:t>
                  </w:r>
                </w:p>
              </w:tc>
              <w:tc>
                <w:tcPr>
                  <w:tcW w:w="1759"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89 </w:t>
                  </w:r>
                </w:p>
              </w:tc>
              <w:tc>
                <w:tcPr>
                  <w:tcW w:w="1343"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114 </w:t>
                  </w:r>
                </w:p>
              </w:tc>
              <w:tc>
                <w:tcPr>
                  <w:tcW w:w="706" w:type="dxa"/>
                  <w:tcBorders>
                    <w:top w:val="nil"/>
                    <w:left w:val="nil"/>
                    <w:bottom w:val="single" w:sz="4" w:space="0" w:color="auto"/>
                    <w:right w:val="single" w:sz="4" w:space="0" w:color="auto"/>
                  </w:tcBorders>
                  <w:shd w:val="clear" w:color="auto" w:fill="auto"/>
                  <w:noWrap/>
                  <w:vAlign w:val="bottom"/>
                  <w:hideMark/>
                </w:tcPr>
                <w:p w:rsidR="00EF3553" w:rsidRPr="00EF3553" w:rsidRDefault="00EF3553" w:rsidP="00EF3553">
                  <w:pPr>
                    <w:spacing w:after="0" w:line="240" w:lineRule="auto"/>
                    <w:jc w:val="center"/>
                    <w:rPr>
                      <w:rFonts w:ascii="Calibri" w:eastAsia="Times New Roman" w:hAnsi="Calibri" w:cs="Times New Roman"/>
                      <w:color w:val="000000"/>
                      <w:lang w:eastAsia="ro-RO"/>
                    </w:rPr>
                  </w:pPr>
                  <w:r w:rsidRPr="00EF3553">
                    <w:rPr>
                      <w:rFonts w:ascii="Calibri" w:eastAsia="Times New Roman" w:hAnsi="Calibri" w:cs="Times New Roman"/>
                      <w:color w:val="000000"/>
                      <w:lang w:eastAsia="ro-RO"/>
                    </w:rPr>
                    <w:t xml:space="preserve">1.194 </w:t>
                  </w:r>
                </w:p>
              </w:tc>
            </w:tr>
          </w:tbl>
          <w:p w:rsidR="00EF3553" w:rsidRPr="008456C1" w:rsidRDefault="00EF3553" w:rsidP="00EF3553">
            <w:pPr>
              <w:jc w:val="both"/>
              <w:rPr>
                <w:rFonts w:ascii="Times New Roman" w:hAnsi="Times New Roman" w:cs="Times New Roman"/>
                <w:i/>
                <w:sz w:val="24"/>
                <w:szCs w:val="24"/>
              </w:rPr>
            </w:pPr>
            <w:r w:rsidRPr="008456C1">
              <w:rPr>
                <w:rFonts w:ascii="Times New Roman" w:hAnsi="Times New Roman" w:cs="Times New Roman"/>
                <w:i/>
                <w:sz w:val="24"/>
                <w:szCs w:val="24"/>
              </w:rPr>
              <w:t xml:space="preserve">Sursa: MFP, date prelucrate autor </w:t>
            </w:r>
          </w:p>
          <w:p w:rsidR="00EF3553" w:rsidRDefault="00EF3553" w:rsidP="005C7ABC">
            <w:pPr>
              <w:jc w:val="both"/>
              <w:rPr>
                <w:rFonts w:ascii="Times New Roman" w:hAnsi="Times New Roman" w:cs="Times New Roman"/>
                <w:sz w:val="24"/>
                <w:szCs w:val="24"/>
              </w:rPr>
            </w:pPr>
          </w:p>
          <w:p w:rsidR="00EF3553" w:rsidRDefault="00EF3553" w:rsidP="005C7ABC">
            <w:pPr>
              <w:jc w:val="both"/>
              <w:rPr>
                <w:rFonts w:ascii="Times New Roman" w:hAnsi="Times New Roman" w:cs="Times New Roman"/>
                <w:sz w:val="24"/>
                <w:szCs w:val="24"/>
              </w:rPr>
            </w:pPr>
            <w:r w:rsidRPr="00930C8D">
              <w:rPr>
                <w:rFonts w:ascii="Times New Roman" w:hAnsi="Times New Roman" w:cs="Times New Roman"/>
                <w:b/>
                <w:sz w:val="24"/>
                <w:szCs w:val="24"/>
              </w:rPr>
              <w:t>Tabel 4.</w:t>
            </w:r>
            <w:r>
              <w:rPr>
                <w:rFonts w:ascii="Times New Roman" w:hAnsi="Times New Roman" w:cs="Times New Roman"/>
                <w:sz w:val="24"/>
                <w:szCs w:val="24"/>
              </w:rPr>
              <w:t xml:space="preserve"> Distributia valorica % (pondere)</w:t>
            </w:r>
            <w:r w:rsidR="0062645F">
              <w:rPr>
                <w:rFonts w:ascii="Times New Roman" w:hAnsi="Times New Roman" w:cs="Times New Roman"/>
                <w:sz w:val="24"/>
                <w:szCs w:val="24"/>
              </w:rPr>
              <w:t xml:space="preserve"> – cifra de afaceri</w:t>
            </w:r>
            <w:r w:rsidR="003E4CA8">
              <w:rPr>
                <w:rFonts w:ascii="Times New Roman" w:hAnsi="Times New Roman" w:cs="Times New Roman"/>
                <w:sz w:val="24"/>
                <w:szCs w:val="24"/>
              </w:rPr>
              <w:t xml:space="preserve"> mld RON</w:t>
            </w:r>
          </w:p>
          <w:tbl>
            <w:tblPr>
              <w:tblW w:w="10181" w:type="dxa"/>
              <w:tblLook w:val="04A0" w:firstRow="1" w:lastRow="0" w:firstColumn="1" w:lastColumn="0" w:noHBand="0" w:noVBand="1"/>
            </w:tblPr>
            <w:tblGrid>
              <w:gridCol w:w="2358"/>
              <w:gridCol w:w="1181"/>
              <w:gridCol w:w="1255"/>
              <w:gridCol w:w="1627"/>
              <w:gridCol w:w="1729"/>
              <w:gridCol w:w="1323"/>
              <w:gridCol w:w="708"/>
            </w:tblGrid>
            <w:tr w:rsidR="00187E52" w:rsidRPr="00187E52" w:rsidTr="00187E52">
              <w:trPr>
                <w:trHeight w:val="288"/>
              </w:trPr>
              <w:tc>
                <w:tcPr>
                  <w:tcW w:w="2358" w:type="dxa"/>
                  <w:tcBorders>
                    <w:top w:val="single" w:sz="4" w:space="0" w:color="auto"/>
                    <w:left w:val="single" w:sz="4" w:space="0" w:color="auto"/>
                    <w:bottom w:val="single" w:sz="4" w:space="0" w:color="auto"/>
                    <w:right w:val="single" w:sz="4" w:space="0" w:color="auto"/>
                  </w:tcBorders>
                  <w:shd w:val="clear" w:color="DCE6F1" w:fill="1F497D"/>
                  <w:noWrap/>
                  <w:vAlign w:val="center"/>
                  <w:hideMark/>
                </w:tcPr>
                <w:p w:rsidR="00187E52" w:rsidRPr="00187E52" w:rsidRDefault="003E4CA8" w:rsidP="003E4CA8">
                  <w:pPr>
                    <w:spacing w:after="0" w:line="240" w:lineRule="auto"/>
                    <w:rPr>
                      <w:rFonts w:ascii="Calibri" w:eastAsia="Times New Roman" w:hAnsi="Calibri" w:cs="Times New Roman"/>
                      <w:b/>
                      <w:bCs/>
                      <w:color w:val="FFFFFF"/>
                      <w:lang w:eastAsia="ro-RO"/>
                    </w:rPr>
                  </w:pPr>
                  <w:r>
                    <w:rPr>
                      <w:rFonts w:ascii="Calibri" w:eastAsia="Times New Roman" w:hAnsi="Calibri" w:cs="Times New Roman"/>
                      <w:b/>
                      <w:bCs/>
                      <w:color w:val="FFFFFF"/>
                      <w:lang w:eastAsia="ro-RO"/>
                    </w:rPr>
                    <w:t>Cifra Afaceri</w:t>
                  </w:r>
                </w:p>
              </w:tc>
              <w:tc>
                <w:tcPr>
                  <w:tcW w:w="1181" w:type="dxa"/>
                  <w:tcBorders>
                    <w:top w:val="single" w:sz="4" w:space="0" w:color="auto"/>
                    <w:left w:val="nil"/>
                    <w:bottom w:val="single" w:sz="4" w:space="0" w:color="auto"/>
                    <w:right w:val="single" w:sz="4" w:space="0" w:color="auto"/>
                  </w:tcBorders>
                  <w:shd w:val="clear" w:color="DCE6F1" w:fill="1F497D"/>
                  <w:noWrap/>
                  <w:vAlign w:val="center"/>
                  <w:hideMark/>
                </w:tcPr>
                <w:p w:rsidR="00187E52" w:rsidRPr="00187E52" w:rsidRDefault="00187E52" w:rsidP="00187E52">
                  <w:pPr>
                    <w:spacing w:after="0" w:line="240" w:lineRule="auto"/>
                    <w:jc w:val="center"/>
                    <w:rPr>
                      <w:rFonts w:ascii="Calibri" w:eastAsia="Times New Roman" w:hAnsi="Calibri" w:cs="Times New Roman"/>
                      <w:b/>
                      <w:bCs/>
                      <w:color w:val="FFFFFF"/>
                      <w:lang w:eastAsia="ro-RO"/>
                    </w:rPr>
                  </w:pPr>
                  <w:r w:rsidRPr="00187E52">
                    <w:rPr>
                      <w:rFonts w:ascii="Calibri" w:eastAsia="Times New Roman" w:hAnsi="Calibri" w:cs="Times New Roman"/>
                      <w:b/>
                      <w:bCs/>
                      <w:color w:val="FFFFFF"/>
                      <w:lang w:eastAsia="ro-RO"/>
                    </w:rPr>
                    <w:t>Pierdere</w:t>
                  </w:r>
                </w:p>
              </w:tc>
              <w:tc>
                <w:tcPr>
                  <w:tcW w:w="1255" w:type="dxa"/>
                  <w:tcBorders>
                    <w:top w:val="single" w:sz="4" w:space="0" w:color="auto"/>
                    <w:left w:val="nil"/>
                    <w:bottom w:val="single" w:sz="4" w:space="0" w:color="auto"/>
                    <w:right w:val="single" w:sz="4" w:space="0" w:color="auto"/>
                  </w:tcBorders>
                  <w:shd w:val="clear" w:color="DCE6F1" w:fill="1F497D"/>
                  <w:noWrap/>
                  <w:vAlign w:val="center"/>
                  <w:hideMark/>
                </w:tcPr>
                <w:p w:rsidR="00187E52" w:rsidRDefault="00187E52" w:rsidP="00187E52">
                  <w:pPr>
                    <w:spacing w:after="0" w:line="240" w:lineRule="auto"/>
                    <w:jc w:val="center"/>
                    <w:rPr>
                      <w:rFonts w:ascii="Calibri" w:eastAsia="Times New Roman" w:hAnsi="Calibri" w:cs="Times New Roman"/>
                      <w:b/>
                      <w:bCs/>
                      <w:color w:val="FFFFFF"/>
                      <w:lang w:eastAsia="ro-RO"/>
                    </w:rPr>
                  </w:pPr>
                  <w:r w:rsidRPr="00187E52">
                    <w:rPr>
                      <w:rFonts w:ascii="Calibri" w:eastAsia="Times New Roman" w:hAnsi="Calibri" w:cs="Times New Roman"/>
                      <w:b/>
                      <w:bCs/>
                      <w:color w:val="FFFFFF"/>
                      <w:lang w:eastAsia="ro-RO"/>
                    </w:rPr>
                    <w:t>EBT</w:t>
                  </w:r>
                </w:p>
                <w:p w:rsidR="00187E52" w:rsidRPr="00187E52" w:rsidRDefault="00187E52" w:rsidP="00187E52">
                  <w:pPr>
                    <w:spacing w:after="0" w:line="240" w:lineRule="auto"/>
                    <w:jc w:val="center"/>
                    <w:rPr>
                      <w:rFonts w:ascii="Calibri" w:eastAsia="Times New Roman" w:hAnsi="Calibri" w:cs="Times New Roman"/>
                      <w:b/>
                      <w:bCs/>
                      <w:color w:val="FFFFFF"/>
                      <w:lang w:eastAsia="ro-RO"/>
                    </w:rPr>
                  </w:pPr>
                  <w:r w:rsidRPr="00187E52">
                    <w:rPr>
                      <w:rFonts w:ascii="Calibri" w:eastAsia="Times New Roman" w:hAnsi="Calibri" w:cs="Times New Roman"/>
                      <w:b/>
                      <w:bCs/>
                      <w:color w:val="FFFFFF"/>
                      <w:lang w:eastAsia="ro-RO"/>
                    </w:rPr>
                    <w:t>0-6,25%</w:t>
                  </w:r>
                </w:p>
              </w:tc>
              <w:tc>
                <w:tcPr>
                  <w:tcW w:w="1627" w:type="dxa"/>
                  <w:tcBorders>
                    <w:top w:val="single" w:sz="4" w:space="0" w:color="auto"/>
                    <w:left w:val="nil"/>
                    <w:bottom w:val="single" w:sz="4" w:space="0" w:color="auto"/>
                    <w:right w:val="single" w:sz="4" w:space="0" w:color="auto"/>
                  </w:tcBorders>
                  <w:shd w:val="clear" w:color="DCE6F1" w:fill="1F497D"/>
                  <w:noWrap/>
                  <w:vAlign w:val="center"/>
                  <w:hideMark/>
                </w:tcPr>
                <w:p w:rsidR="00187E52" w:rsidRDefault="00187E52" w:rsidP="00187E52">
                  <w:pPr>
                    <w:spacing w:after="0" w:line="240" w:lineRule="auto"/>
                    <w:jc w:val="center"/>
                    <w:rPr>
                      <w:rFonts w:ascii="Calibri" w:eastAsia="Times New Roman" w:hAnsi="Calibri" w:cs="Times New Roman"/>
                      <w:b/>
                      <w:bCs/>
                      <w:color w:val="FFFFFF"/>
                      <w:lang w:eastAsia="ro-RO"/>
                    </w:rPr>
                  </w:pPr>
                  <w:r w:rsidRPr="00187E52">
                    <w:rPr>
                      <w:rFonts w:ascii="Calibri" w:eastAsia="Times New Roman" w:hAnsi="Calibri" w:cs="Times New Roman"/>
                      <w:b/>
                      <w:bCs/>
                      <w:color w:val="FFFFFF"/>
                      <w:lang w:eastAsia="ro-RO"/>
                    </w:rPr>
                    <w:t>EBT</w:t>
                  </w:r>
                </w:p>
                <w:p w:rsidR="00187E52" w:rsidRPr="00187E52" w:rsidRDefault="00187E52" w:rsidP="00187E52">
                  <w:pPr>
                    <w:spacing w:after="0" w:line="240" w:lineRule="auto"/>
                    <w:jc w:val="center"/>
                    <w:rPr>
                      <w:rFonts w:ascii="Calibri" w:eastAsia="Times New Roman" w:hAnsi="Calibri" w:cs="Times New Roman"/>
                      <w:b/>
                      <w:bCs/>
                      <w:color w:val="FFFFFF"/>
                      <w:lang w:eastAsia="ro-RO"/>
                    </w:rPr>
                  </w:pPr>
                  <w:r w:rsidRPr="00187E52">
                    <w:rPr>
                      <w:rFonts w:ascii="Calibri" w:eastAsia="Times New Roman" w:hAnsi="Calibri" w:cs="Times New Roman"/>
                      <w:b/>
                      <w:bCs/>
                      <w:color w:val="FFFFFF"/>
                      <w:lang w:eastAsia="ro-RO"/>
                    </w:rPr>
                    <w:t>6,25%-12,5%</w:t>
                  </w:r>
                </w:p>
              </w:tc>
              <w:tc>
                <w:tcPr>
                  <w:tcW w:w="1729" w:type="dxa"/>
                  <w:tcBorders>
                    <w:top w:val="single" w:sz="4" w:space="0" w:color="auto"/>
                    <w:left w:val="nil"/>
                    <w:bottom w:val="single" w:sz="4" w:space="0" w:color="auto"/>
                    <w:right w:val="single" w:sz="4" w:space="0" w:color="auto"/>
                  </w:tcBorders>
                  <w:shd w:val="clear" w:color="DCE6F1" w:fill="1F497D"/>
                  <w:noWrap/>
                  <w:vAlign w:val="center"/>
                  <w:hideMark/>
                </w:tcPr>
                <w:p w:rsidR="00187E52" w:rsidRDefault="00187E52" w:rsidP="00187E52">
                  <w:pPr>
                    <w:spacing w:after="0" w:line="240" w:lineRule="auto"/>
                    <w:jc w:val="center"/>
                    <w:rPr>
                      <w:rFonts w:ascii="Calibri" w:eastAsia="Times New Roman" w:hAnsi="Calibri" w:cs="Times New Roman"/>
                      <w:b/>
                      <w:bCs/>
                      <w:color w:val="FFFFFF"/>
                      <w:lang w:eastAsia="ro-RO"/>
                    </w:rPr>
                  </w:pPr>
                  <w:r w:rsidRPr="00187E52">
                    <w:rPr>
                      <w:rFonts w:ascii="Calibri" w:eastAsia="Times New Roman" w:hAnsi="Calibri" w:cs="Times New Roman"/>
                      <w:b/>
                      <w:bCs/>
                      <w:color w:val="FFFFFF"/>
                      <w:lang w:eastAsia="ro-RO"/>
                    </w:rPr>
                    <w:t>EBT</w:t>
                  </w:r>
                </w:p>
                <w:p w:rsidR="00187E52" w:rsidRPr="00187E52" w:rsidRDefault="00187E52" w:rsidP="00187E52">
                  <w:pPr>
                    <w:spacing w:after="0" w:line="240" w:lineRule="auto"/>
                    <w:jc w:val="center"/>
                    <w:rPr>
                      <w:rFonts w:ascii="Calibri" w:eastAsia="Times New Roman" w:hAnsi="Calibri" w:cs="Times New Roman"/>
                      <w:b/>
                      <w:bCs/>
                      <w:color w:val="FFFFFF"/>
                      <w:lang w:eastAsia="ro-RO"/>
                    </w:rPr>
                  </w:pPr>
                  <w:r w:rsidRPr="00187E52">
                    <w:rPr>
                      <w:rFonts w:ascii="Calibri" w:eastAsia="Times New Roman" w:hAnsi="Calibri" w:cs="Times New Roman"/>
                      <w:b/>
                      <w:bCs/>
                      <w:color w:val="FFFFFF"/>
                      <w:lang w:eastAsia="ro-RO"/>
                    </w:rPr>
                    <w:t>12,5%-18,75%</w:t>
                  </w:r>
                </w:p>
              </w:tc>
              <w:tc>
                <w:tcPr>
                  <w:tcW w:w="1323" w:type="dxa"/>
                  <w:tcBorders>
                    <w:top w:val="single" w:sz="4" w:space="0" w:color="auto"/>
                    <w:left w:val="nil"/>
                    <w:bottom w:val="single" w:sz="4" w:space="0" w:color="auto"/>
                    <w:right w:val="single" w:sz="4" w:space="0" w:color="auto"/>
                  </w:tcBorders>
                  <w:shd w:val="clear" w:color="DCE6F1" w:fill="1F497D"/>
                  <w:noWrap/>
                  <w:vAlign w:val="center"/>
                  <w:hideMark/>
                </w:tcPr>
                <w:p w:rsidR="00187E52" w:rsidRPr="00187E52" w:rsidRDefault="00187E52" w:rsidP="00187E52">
                  <w:pPr>
                    <w:spacing w:after="0" w:line="240" w:lineRule="auto"/>
                    <w:jc w:val="center"/>
                    <w:rPr>
                      <w:rFonts w:ascii="Calibri" w:eastAsia="Times New Roman" w:hAnsi="Calibri" w:cs="Times New Roman"/>
                      <w:b/>
                      <w:bCs/>
                      <w:color w:val="FFFFFF"/>
                      <w:lang w:eastAsia="ro-RO"/>
                    </w:rPr>
                  </w:pPr>
                  <w:r w:rsidRPr="00187E52">
                    <w:rPr>
                      <w:rFonts w:ascii="Calibri" w:eastAsia="Times New Roman" w:hAnsi="Calibri" w:cs="Times New Roman"/>
                      <w:b/>
                      <w:bCs/>
                      <w:color w:val="FFFFFF"/>
                      <w:lang w:eastAsia="ro-RO"/>
                    </w:rPr>
                    <w:t>EBT &gt; 18,75%</w:t>
                  </w:r>
                </w:p>
              </w:tc>
              <w:tc>
                <w:tcPr>
                  <w:tcW w:w="708" w:type="dxa"/>
                  <w:tcBorders>
                    <w:top w:val="single" w:sz="4" w:space="0" w:color="auto"/>
                    <w:left w:val="nil"/>
                    <w:bottom w:val="single" w:sz="4" w:space="0" w:color="auto"/>
                    <w:right w:val="single" w:sz="4" w:space="0" w:color="auto"/>
                  </w:tcBorders>
                  <w:shd w:val="clear" w:color="DCE6F1" w:fill="1F497D"/>
                  <w:noWrap/>
                  <w:vAlign w:val="center"/>
                  <w:hideMark/>
                </w:tcPr>
                <w:p w:rsidR="00187E52" w:rsidRPr="00187E52" w:rsidRDefault="00187E52" w:rsidP="00187E52">
                  <w:pPr>
                    <w:spacing w:after="0" w:line="240" w:lineRule="auto"/>
                    <w:jc w:val="center"/>
                    <w:rPr>
                      <w:rFonts w:ascii="Calibri" w:eastAsia="Times New Roman" w:hAnsi="Calibri" w:cs="Times New Roman"/>
                      <w:b/>
                      <w:bCs/>
                      <w:color w:val="FFFFFF"/>
                      <w:lang w:eastAsia="ro-RO"/>
                    </w:rPr>
                  </w:pPr>
                  <w:r w:rsidRPr="00187E52">
                    <w:rPr>
                      <w:rFonts w:ascii="Calibri" w:eastAsia="Times New Roman" w:hAnsi="Calibri" w:cs="Times New Roman"/>
                      <w:b/>
                      <w:bCs/>
                      <w:color w:val="FFFFFF"/>
                      <w:lang w:eastAsia="ro-RO"/>
                    </w:rPr>
                    <w:t>Total</w:t>
                  </w:r>
                </w:p>
              </w:tc>
            </w:tr>
            <w:tr w:rsidR="00187E52" w:rsidRPr="00187E52" w:rsidTr="00187E52">
              <w:trPr>
                <w:trHeight w:val="300"/>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187E52" w:rsidRPr="00187E52" w:rsidRDefault="00187E52" w:rsidP="00187E52">
                  <w:pPr>
                    <w:spacing w:after="0" w:line="240" w:lineRule="auto"/>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Fara Activitate</w:t>
                  </w:r>
                </w:p>
              </w:tc>
              <w:tc>
                <w:tcPr>
                  <w:tcW w:w="1181"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0%</w:t>
                  </w:r>
                </w:p>
              </w:tc>
              <w:tc>
                <w:tcPr>
                  <w:tcW w:w="1255"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0%</w:t>
                  </w:r>
                </w:p>
              </w:tc>
              <w:tc>
                <w:tcPr>
                  <w:tcW w:w="1627"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0%</w:t>
                  </w:r>
                </w:p>
              </w:tc>
              <w:tc>
                <w:tcPr>
                  <w:tcW w:w="1729"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0%</w:t>
                  </w:r>
                </w:p>
              </w:tc>
              <w:tc>
                <w:tcPr>
                  <w:tcW w:w="1323"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0%</w:t>
                  </w:r>
                </w:p>
              </w:tc>
              <w:tc>
                <w:tcPr>
                  <w:tcW w:w="708"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0%</w:t>
                  </w:r>
                </w:p>
              </w:tc>
            </w:tr>
            <w:tr w:rsidR="00187E52" w:rsidRPr="00187E52" w:rsidTr="00187E52">
              <w:trPr>
                <w:trHeight w:val="300"/>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187E52" w:rsidRPr="00187E52" w:rsidRDefault="00187E52" w:rsidP="00187E52">
                  <w:pPr>
                    <w:spacing w:after="0" w:line="240" w:lineRule="auto"/>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0 - 500 K EUR</w:t>
                  </w:r>
                </w:p>
              </w:tc>
              <w:tc>
                <w:tcPr>
                  <w:tcW w:w="1181"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2%</w:t>
                  </w:r>
                </w:p>
              </w:tc>
              <w:tc>
                <w:tcPr>
                  <w:tcW w:w="1255"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3%</w:t>
                  </w:r>
                </w:p>
              </w:tc>
              <w:tc>
                <w:tcPr>
                  <w:tcW w:w="1627"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2%</w:t>
                  </w:r>
                </w:p>
              </w:tc>
              <w:tc>
                <w:tcPr>
                  <w:tcW w:w="1729"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1323"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2%</w:t>
                  </w:r>
                </w:p>
              </w:tc>
              <w:tc>
                <w:tcPr>
                  <w:tcW w:w="708"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10%</w:t>
                  </w:r>
                </w:p>
              </w:tc>
            </w:tr>
            <w:tr w:rsidR="00187E52" w:rsidRPr="00187E52" w:rsidTr="00187E52">
              <w:trPr>
                <w:trHeight w:val="300"/>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187E52" w:rsidRPr="00187E52" w:rsidRDefault="00187E52" w:rsidP="00187E52">
                  <w:pPr>
                    <w:spacing w:after="0" w:line="240" w:lineRule="auto"/>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500 - 1000 K EUR</w:t>
                  </w:r>
                </w:p>
              </w:tc>
              <w:tc>
                <w:tcPr>
                  <w:tcW w:w="1181"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1255"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2%</w:t>
                  </w:r>
                </w:p>
              </w:tc>
              <w:tc>
                <w:tcPr>
                  <w:tcW w:w="1627"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1729"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0%</w:t>
                  </w:r>
                </w:p>
              </w:tc>
              <w:tc>
                <w:tcPr>
                  <w:tcW w:w="1323"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708"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5%</w:t>
                  </w:r>
                </w:p>
              </w:tc>
            </w:tr>
            <w:tr w:rsidR="00187E52" w:rsidRPr="00187E52" w:rsidTr="00187E52">
              <w:trPr>
                <w:trHeight w:val="300"/>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187E52" w:rsidRPr="00187E52" w:rsidRDefault="00187E52" w:rsidP="00187E52">
                  <w:pPr>
                    <w:spacing w:after="0" w:line="240" w:lineRule="auto"/>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1 - 5 MIL EUR</w:t>
                  </w:r>
                </w:p>
              </w:tc>
              <w:tc>
                <w:tcPr>
                  <w:tcW w:w="1181"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2%</w:t>
                  </w:r>
                </w:p>
              </w:tc>
              <w:tc>
                <w:tcPr>
                  <w:tcW w:w="1255"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7%</w:t>
                  </w:r>
                </w:p>
              </w:tc>
              <w:tc>
                <w:tcPr>
                  <w:tcW w:w="1627"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3%</w:t>
                  </w:r>
                </w:p>
              </w:tc>
              <w:tc>
                <w:tcPr>
                  <w:tcW w:w="1729"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1323"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2%</w:t>
                  </w:r>
                </w:p>
              </w:tc>
              <w:tc>
                <w:tcPr>
                  <w:tcW w:w="708"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15%</w:t>
                  </w:r>
                </w:p>
              </w:tc>
            </w:tr>
            <w:tr w:rsidR="00187E52" w:rsidRPr="00187E52" w:rsidTr="00187E52">
              <w:trPr>
                <w:trHeight w:val="300"/>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187E52" w:rsidRPr="00187E52" w:rsidRDefault="00187E52" w:rsidP="00187E52">
                  <w:pPr>
                    <w:spacing w:after="0" w:line="240" w:lineRule="auto"/>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5 - 10 MIL EUR</w:t>
                  </w:r>
                </w:p>
              </w:tc>
              <w:tc>
                <w:tcPr>
                  <w:tcW w:w="1181"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1255"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4%</w:t>
                  </w:r>
                </w:p>
              </w:tc>
              <w:tc>
                <w:tcPr>
                  <w:tcW w:w="1627"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2%</w:t>
                  </w:r>
                </w:p>
              </w:tc>
              <w:tc>
                <w:tcPr>
                  <w:tcW w:w="1729"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1323"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708"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8%</w:t>
                  </w:r>
                </w:p>
              </w:tc>
            </w:tr>
            <w:tr w:rsidR="00187E52" w:rsidRPr="00187E52" w:rsidTr="00187E52">
              <w:trPr>
                <w:trHeight w:val="300"/>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187E52" w:rsidRPr="00187E52" w:rsidRDefault="00187E52" w:rsidP="00187E52">
                  <w:pPr>
                    <w:spacing w:after="0" w:line="240" w:lineRule="auto"/>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10 - 50 MIL EUR</w:t>
                  </w:r>
                </w:p>
              </w:tc>
              <w:tc>
                <w:tcPr>
                  <w:tcW w:w="1181"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3%</w:t>
                  </w:r>
                </w:p>
              </w:tc>
              <w:tc>
                <w:tcPr>
                  <w:tcW w:w="1255"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10%</w:t>
                  </w:r>
                </w:p>
              </w:tc>
              <w:tc>
                <w:tcPr>
                  <w:tcW w:w="1627"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4%</w:t>
                  </w:r>
                </w:p>
              </w:tc>
              <w:tc>
                <w:tcPr>
                  <w:tcW w:w="1729"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1323"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708"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19%</w:t>
                  </w:r>
                </w:p>
              </w:tc>
            </w:tr>
            <w:tr w:rsidR="00187E52" w:rsidRPr="00187E52" w:rsidTr="00187E52">
              <w:trPr>
                <w:trHeight w:val="300"/>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187E52" w:rsidRPr="00187E52" w:rsidRDefault="00187E52" w:rsidP="00187E52">
                  <w:pPr>
                    <w:spacing w:after="0" w:line="240" w:lineRule="auto"/>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50 - 100 MIL EUR</w:t>
                  </w:r>
                </w:p>
              </w:tc>
              <w:tc>
                <w:tcPr>
                  <w:tcW w:w="1181"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1255"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4%</w:t>
                  </w:r>
                </w:p>
              </w:tc>
              <w:tc>
                <w:tcPr>
                  <w:tcW w:w="1627"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1729"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w:t>
                  </w:r>
                </w:p>
              </w:tc>
              <w:tc>
                <w:tcPr>
                  <w:tcW w:w="1323"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0%</w:t>
                  </w:r>
                </w:p>
              </w:tc>
              <w:tc>
                <w:tcPr>
                  <w:tcW w:w="708"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7%</w:t>
                  </w:r>
                </w:p>
              </w:tc>
            </w:tr>
            <w:tr w:rsidR="00187E52" w:rsidRPr="00187E52" w:rsidTr="00187E52">
              <w:trPr>
                <w:trHeight w:val="300"/>
              </w:trPr>
              <w:tc>
                <w:tcPr>
                  <w:tcW w:w="2358" w:type="dxa"/>
                  <w:tcBorders>
                    <w:top w:val="nil"/>
                    <w:left w:val="single" w:sz="4" w:space="0" w:color="auto"/>
                    <w:bottom w:val="single" w:sz="4" w:space="0" w:color="auto"/>
                    <w:right w:val="single" w:sz="4" w:space="0" w:color="auto"/>
                  </w:tcBorders>
                  <w:shd w:val="clear" w:color="auto" w:fill="auto"/>
                  <w:noWrap/>
                  <w:vAlign w:val="center"/>
                  <w:hideMark/>
                </w:tcPr>
                <w:p w:rsidR="00187E52" w:rsidRPr="00187E52" w:rsidRDefault="00187E52" w:rsidP="00187E52">
                  <w:pPr>
                    <w:spacing w:after="0" w:line="240" w:lineRule="auto"/>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&gt; 100 MIL EUR</w:t>
                  </w:r>
                </w:p>
              </w:tc>
              <w:tc>
                <w:tcPr>
                  <w:tcW w:w="1181"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8%</w:t>
                  </w:r>
                </w:p>
              </w:tc>
              <w:tc>
                <w:tcPr>
                  <w:tcW w:w="1255"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18%</w:t>
                  </w:r>
                </w:p>
              </w:tc>
              <w:tc>
                <w:tcPr>
                  <w:tcW w:w="1627"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5%</w:t>
                  </w:r>
                </w:p>
              </w:tc>
              <w:tc>
                <w:tcPr>
                  <w:tcW w:w="1729"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2%</w:t>
                  </w:r>
                </w:p>
              </w:tc>
              <w:tc>
                <w:tcPr>
                  <w:tcW w:w="1323"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2%</w:t>
                  </w:r>
                </w:p>
              </w:tc>
              <w:tc>
                <w:tcPr>
                  <w:tcW w:w="708"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35%</w:t>
                  </w:r>
                </w:p>
              </w:tc>
            </w:tr>
            <w:tr w:rsidR="00187E52" w:rsidRPr="00187E52" w:rsidTr="00187E52">
              <w:trPr>
                <w:trHeight w:val="300"/>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rPr>
                      <w:rFonts w:ascii="Calibri" w:eastAsia="Times New Roman" w:hAnsi="Calibri" w:cs="Times New Roman"/>
                      <w:b/>
                      <w:bCs/>
                      <w:color w:val="000000"/>
                      <w:lang w:eastAsia="ro-RO"/>
                    </w:rPr>
                  </w:pPr>
                  <w:r w:rsidRPr="00187E52">
                    <w:rPr>
                      <w:rFonts w:ascii="Calibri" w:eastAsia="Times New Roman" w:hAnsi="Calibri" w:cs="Times New Roman"/>
                      <w:b/>
                      <w:bCs/>
                      <w:color w:val="000000"/>
                      <w:lang w:eastAsia="ro-RO"/>
                    </w:rPr>
                    <w:t>Total</w:t>
                  </w:r>
                </w:p>
              </w:tc>
              <w:tc>
                <w:tcPr>
                  <w:tcW w:w="1181"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17%</w:t>
                  </w:r>
                </w:p>
              </w:tc>
              <w:tc>
                <w:tcPr>
                  <w:tcW w:w="1255"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49%</w:t>
                  </w:r>
                </w:p>
              </w:tc>
              <w:tc>
                <w:tcPr>
                  <w:tcW w:w="1627"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17%</w:t>
                  </w:r>
                </w:p>
              </w:tc>
              <w:tc>
                <w:tcPr>
                  <w:tcW w:w="1729"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7%</w:t>
                  </w:r>
                </w:p>
              </w:tc>
              <w:tc>
                <w:tcPr>
                  <w:tcW w:w="1323"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10%</w:t>
                  </w:r>
                </w:p>
              </w:tc>
              <w:tc>
                <w:tcPr>
                  <w:tcW w:w="708" w:type="dxa"/>
                  <w:tcBorders>
                    <w:top w:val="nil"/>
                    <w:left w:val="nil"/>
                    <w:bottom w:val="single" w:sz="4" w:space="0" w:color="auto"/>
                    <w:right w:val="single" w:sz="4" w:space="0" w:color="auto"/>
                  </w:tcBorders>
                  <w:shd w:val="clear" w:color="auto" w:fill="auto"/>
                  <w:noWrap/>
                  <w:vAlign w:val="bottom"/>
                  <w:hideMark/>
                </w:tcPr>
                <w:p w:rsidR="00187E52" w:rsidRPr="00187E52" w:rsidRDefault="00187E52" w:rsidP="00187E52">
                  <w:pPr>
                    <w:spacing w:after="0" w:line="240" w:lineRule="auto"/>
                    <w:jc w:val="center"/>
                    <w:rPr>
                      <w:rFonts w:ascii="Calibri" w:eastAsia="Times New Roman" w:hAnsi="Calibri" w:cs="Times New Roman"/>
                      <w:color w:val="000000"/>
                      <w:lang w:eastAsia="ro-RO"/>
                    </w:rPr>
                  </w:pPr>
                  <w:r w:rsidRPr="00187E52">
                    <w:rPr>
                      <w:rFonts w:ascii="Calibri" w:eastAsia="Times New Roman" w:hAnsi="Calibri" w:cs="Times New Roman"/>
                      <w:color w:val="000000"/>
                      <w:lang w:eastAsia="ro-RO"/>
                    </w:rPr>
                    <w:t>100%</w:t>
                  </w:r>
                </w:p>
              </w:tc>
            </w:tr>
          </w:tbl>
          <w:p w:rsidR="00187E52" w:rsidRPr="008456C1" w:rsidRDefault="00187E52" w:rsidP="00187E52">
            <w:pPr>
              <w:jc w:val="both"/>
              <w:rPr>
                <w:rFonts w:ascii="Times New Roman" w:hAnsi="Times New Roman" w:cs="Times New Roman"/>
                <w:i/>
                <w:sz w:val="24"/>
                <w:szCs w:val="24"/>
              </w:rPr>
            </w:pPr>
            <w:r w:rsidRPr="008456C1">
              <w:rPr>
                <w:rFonts w:ascii="Times New Roman" w:hAnsi="Times New Roman" w:cs="Times New Roman"/>
                <w:i/>
                <w:sz w:val="24"/>
                <w:szCs w:val="24"/>
              </w:rPr>
              <w:t xml:space="preserve">Sursa: MFP, date prelucrate autor </w:t>
            </w:r>
          </w:p>
          <w:p w:rsidR="00187E52" w:rsidRDefault="00187E52" w:rsidP="005C7ABC">
            <w:pPr>
              <w:jc w:val="both"/>
              <w:rPr>
                <w:rFonts w:ascii="Times New Roman" w:hAnsi="Times New Roman" w:cs="Times New Roman"/>
                <w:sz w:val="24"/>
                <w:szCs w:val="24"/>
              </w:rPr>
            </w:pPr>
          </w:p>
          <w:p w:rsidR="00AC1E14" w:rsidRDefault="00844837" w:rsidP="005C7ABC">
            <w:pPr>
              <w:jc w:val="both"/>
              <w:rPr>
                <w:rFonts w:ascii="Times New Roman" w:hAnsi="Times New Roman" w:cs="Times New Roman"/>
                <w:sz w:val="24"/>
                <w:szCs w:val="24"/>
              </w:rPr>
            </w:pPr>
            <w:r>
              <w:rPr>
                <w:rFonts w:ascii="Times New Roman" w:hAnsi="Times New Roman" w:cs="Times New Roman"/>
                <w:sz w:val="24"/>
                <w:szCs w:val="24"/>
              </w:rPr>
              <w:t>Conform cifrelor ilustrate in tabelele anterioare, se observa o concentrare numerica foarte ridicata a mediului de afaceri in randul microintreprinderilor (93% dintre acestea inregistreaza venituri sub 500.000 EUR), in timp ce 90% dintre venituri sunt inregistrate in randul firmelor cu venituri peste acest prag. In probabilitatea in care noile masuri fiscale nu vor aduce modificari importante asupra gradului de povara fiscala pentru microintreprinderi (care sunt impozitate deja in functie de venituri), este clar ca noile masuri fiscale vizeaza companiile mari si foarte mari. Aceste cifre nu fac decat sa confirme cele exprimate deja de initiat</w:t>
            </w:r>
            <w:r w:rsidR="00AC1E14">
              <w:rPr>
                <w:rFonts w:ascii="Times New Roman" w:hAnsi="Times New Roman" w:cs="Times New Roman"/>
                <w:sz w:val="24"/>
                <w:szCs w:val="24"/>
              </w:rPr>
              <w:t>orii acestei propuneri fiscale.</w:t>
            </w:r>
          </w:p>
          <w:p w:rsidR="00AC1E14" w:rsidRDefault="00AC1E14" w:rsidP="005C7ABC">
            <w:pPr>
              <w:jc w:val="both"/>
              <w:rPr>
                <w:rFonts w:ascii="Times New Roman" w:hAnsi="Times New Roman" w:cs="Times New Roman"/>
                <w:sz w:val="24"/>
                <w:szCs w:val="24"/>
              </w:rPr>
            </w:pPr>
          </w:p>
          <w:p w:rsidR="00930C8D" w:rsidRPr="005C7ABC" w:rsidRDefault="00AC1E14" w:rsidP="00930C8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Aceasta masura fiscala trebuie inteleasa in contextul polarizarii accentuate a mediului de afaceri. </w:t>
            </w:r>
            <w:r w:rsidR="00226C22" w:rsidRPr="00226C22">
              <w:rPr>
                <w:rFonts w:ascii="Times New Roman" w:hAnsi="Times New Roman" w:cs="Times New Roman"/>
                <w:sz w:val="24"/>
                <w:szCs w:val="24"/>
              </w:rPr>
              <w:t xml:space="preserve">Astfel, cele mai mari 1% dintre companiile din Romania (primele 4500 de companii cu cea mai mare cifra de afaceri) concentreaza aproximativ 67% din veniturile raportate de toate companiile active in anul 2015. </w:t>
            </w:r>
            <w:r w:rsidR="00226C22" w:rsidRPr="00226C22">
              <w:rPr>
                <w:rFonts w:ascii="Times New Roman" w:hAnsi="Times New Roman" w:cs="Times New Roman"/>
                <w:sz w:val="24"/>
                <w:szCs w:val="24"/>
              </w:rPr>
              <w:lastRenderedPageBreak/>
              <w:t>Acest procent este mult superior gradului de concentrare inregistrat in Ungaria (64%), Polonia (62%) sau Cehia (51%).</w:t>
            </w:r>
            <w:r w:rsidR="00226C22">
              <w:rPr>
                <w:rFonts w:ascii="Times New Roman" w:hAnsi="Times New Roman" w:cs="Times New Roman"/>
                <w:sz w:val="24"/>
                <w:szCs w:val="24"/>
              </w:rPr>
              <w:t xml:space="preserve"> </w:t>
            </w:r>
            <w:r w:rsidR="00930C8D" w:rsidRPr="00930C8D">
              <w:rPr>
                <w:rFonts w:ascii="Times New Roman" w:hAnsi="Times New Roman" w:cs="Times New Roman"/>
                <w:sz w:val="24"/>
                <w:szCs w:val="24"/>
              </w:rPr>
              <w:t>Nivelul de concentrare mult mai ridicat al veniturilor inregistrat in mediul de afaceri romanesc este explicat si prin diferentele de spirit antreprenorial relativ la tarile din regiune. Astfel, Romania inregistreaza al doilea cel mai scazut nivel, dupa Serbia, al numarului de companii raportat la totalul populatiei.</w:t>
            </w:r>
          </w:p>
        </w:tc>
      </w:tr>
    </w:tbl>
    <w:p w:rsidR="00316EF0" w:rsidRPr="00930C8D" w:rsidRDefault="00316EF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607"/>
        <w:gridCol w:w="5366"/>
      </w:tblGrid>
      <w:tr w:rsidR="00930C8D" w:rsidTr="004A6091">
        <w:trPr>
          <w:trHeight w:val="5252"/>
        </w:trPr>
        <w:tc>
          <w:tcPr>
            <w:tcW w:w="4559" w:type="dxa"/>
          </w:tcPr>
          <w:p w:rsidR="00930C8D" w:rsidRDefault="00930C8D" w:rsidP="00930C8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Cifrele privind concentrarea veniturilor companiilor in functie de dimensiunea acestora, precum si antreprenoriatul relativ la dimensiunea populatiei, sunt ilustrate in tabelele urmatoare. </w:t>
            </w:r>
          </w:p>
          <w:p w:rsidR="00930C8D" w:rsidRDefault="00930C8D" w:rsidP="00930C8D">
            <w:pPr>
              <w:spacing w:line="276" w:lineRule="auto"/>
              <w:jc w:val="both"/>
              <w:rPr>
                <w:b/>
              </w:rPr>
            </w:pPr>
          </w:p>
          <w:p w:rsidR="00930C8D" w:rsidRPr="00930C8D" w:rsidRDefault="00930C8D" w:rsidP="00930C8D">
            <w:pPr>
              <w:spacing w:line="276" w:lineRule="auto"/>
              <w:jc w:val="both"/>
              <w:rPr>
                <w:rFonts w:ascii="Times New Roman" w:hAnsi="Times New Roman" w:cs="Times New Roman"/>
                <w:sz w:val="24"/>
                <w:szCs w:val="24"/>
              </w:rPr>
            </w:pPr>
            <w:r w:rsidRPr="00930C8D">
              <w:rPr>
                <w:rFonts w:ascii="Times New Roman" w:hAnsi="Times New Roman" w:cs="Times New Roman"/>
                <w:b/>
                <w:sz w:val="24"/>
                <w:szCs w:val="24"/>
              </w:rPr>
              <w:t>Tabel 5:</w:t>
            </w:r>
            <w:r w:rsidRPr="00930C8D">
              <w:rPr>
                <w:rFonts w:ascii="Times New Roman" w:hAnsi="Times New Roman" w:cs="Times New Roman"/>
                <w:sz w:val="24"/>
                <w:szCs w:val="24"/>
              </w:rPr>
              <w:t xml:space="preserve"> Gradul de concentrare al veniturilor in randul mediului de afaceri</w:t>
            </w:r>
          </w:p>
          <w:tbl>
            <w:tblPr>
              <w:tblW w:w="4566" w:type="dxa"/>
              <w:tblLook w:val="04A0" w:firstRow="1" w:lastRow="0" w:firstColumn="1" w:lastColumn="0" w:noHBand="0" w:noVBand="1"/>
            </w:tblPr>
            <w:tblGrid>
              <w:gridCol w:w="1109"/>
              <w:gridCol w:w="911"/>
              <w:gridCol w:w="829"/>
              <w:gridCol w:w="806"/>
              <w:gridCol w:w="710"/>
            </w:tblGrid>
            <w:tr w:rsidR="00930C8D" w:rsidRPr="00A175B7" w:rsidTr="008B40D6">
              <w:trPr>
                <w:trHeight w:val="288"/>
              </w:trPr>
              <w:tc>
                <w:tcPr>
                  <w:tcW w:w="1164" w:type="dxa"/>
                  <w:tcBorders>
                    <w:top w:val="single" w:sz="4" w:space="0" w:color="auto"/>
                    <w:left w:val="single" w:sz="4" w:space="0" w:color="auto"/>
                    <w:bottom w:val="single" w:sz="4" w:space="0" w:color="auto"/>
                    <w:right w:val="single" w:sz="4" w:space="0" w:color="auto"/>
                  </w:tcBorders>
                  <w:shd w:val="clear" w:color="000000" w:fill="03365F"/>
                  <w:noWrap/>
                  <w:vAlign w:val="bottom"/>
                  <w:hideMark/>
                </w:tcPr>
                <w:p w:rsidR="00930C8D" w:rsidRPr="00471808" w:rsidRDefault="00930C8D" w:rsidP="008B40D6">
                  <w:pPr>
                    <w:spacing w:after="0" w:line="240" w:lineRule="auto"/>
                    <w:jc w:val="center"/>
                    <w:rPr>
                      <w:rFonts w:ascii="Calibri" w:eastAsia="Times New Roman" w:hAnsi="Calibri" w:cs="Times New Roman"/>
                      <w:b/>
                      <w:bCs/>
                      <w:color w:val="FFFFFF"/>
                      <w:sz w:val="18"/>
                      <w:szCs w:val="20"/>
                      <w:lang w:eastAsia="ro-RO"/>
                    </w:rPr>
                  </w:pPr>
                  <w:r w:rsidRPr="00471808">
                    <w:rPr>
                      <w:rFonts w:ascii="Calibri" w:eastAsia="Times New Roman" w:hAnsi="Calibri" w:cs="Times New Roman"/>
                      <w:b/>
                      <w:bCs/>
                      <w:color w:val="FFFFFF"/>
                      <w:sz w:val="18"/>
                      <w:szCs w:val="20"/>
                      <w:lang w:eastAsia="ro-RO"/>
                    </w:rPr>
                    <w:t>Top Companii</w:t>
                  </w:r>
                </w:p>
              </w:tc>
              <w:tc>
                <w:tcPr>
                  <w:tcW w:w="953" w:type="dxa"/>
                  <w:tcBorders>
                    <w:top w:val="single" w:sz="4" w:space="0" w:color="auto"/>
                    <w:left w:val="nil"/>
                    <w:bottom w:val="single" w:sz="4" w:space="0" w:color="auto"/>
                    <w:right w:val="single" w:sz="4" w:space="0" w:color="auto"/>
                  </w:tcBorders>
                  <w:shd w:val="clear" w:color="000000" w:fill="03365F"/>
                  <w:noWrap/>
                  <w:vAlign w:val="bottom"/>
                  <w:hideMark/>
                </w:tcPr>
                <w:p w:rsidR="00930C8D" w:rsidRPr="00471808" w:rsidRDefault="00930C8D" w:rsidP="008B40D6">
                  <w:pPr>
                    <w:spacing w:after="0" w:line="240" w:lineRule="auto"/>
                    <w:jc w:val="center"/>
                    <w:rPr>
                      <w:rFonts w:ascii="Calibri" w:eastAsia="Times New Roman" w:hAnsi="Calibri" w:cs="Times New Roman"/>
                      <w:b/>
                      <w:bCs/>
                      <w:color w:val="FFFFFF"/>
                      <w:sz w:val="18"/>
                      <w:szCs w:val="20"/>
                      <w:lang w:eastAsia="ro-RO"/>
                    </w:rPr>
                  </w:pPr>
                  <w:r w:rsidRPr="00471808">
                    <w:rPr>
                      <w:rFonts w:ascii="Calibri" w:eastAsia="Times New Roman" w:hAnsi="Calibri" w:cs="Times New Roman"/>
                      <w:b/>
                      <w:bCs/>
                      <w:color w:val="FFFFFF"/>
                      <w:sz w:val="18"/>
                      <w:szCs w:val="20"/>
                      <w:lang w:eastAsia="ro-RO"/>
                    </w:rPr>
                    <w:t>Romania</w:t>
                  </w:r>
                </w:p>
              </w:tc>
              <w:tc>
                <w:tcPr>
                  <w:tcW w:w="867" w:type="dxa"/>
                  <w:tcBorders>
                    <w:top w:val="single" w:sz="4" w:space="0" w:color="auto"/>
                    <w:left w:val="nil"/>
                    <w:bottom w:val="single" w:sz="4" w:space="0" w:color="auto"/>
                    <w:right w:val="single" w:sz="4" w:space="0" w:color="auto"/>
                  </w:tcBorders>
                  <w:shd w:val="clear" w:color="000000" w:fill="03365F"/>
                  <w:noWrap/>
                  <w:vAlign w:val="bottom"/>
                  <w:hideMark/>
                </w:tcPr>
                <w:p w:rsidR="00930C8D" w:rsidRPr="00471808" w:rsidRDefault="00930C8D" w:rsidP="008B40D6">
                  <w:pPr>
                    <w:spacing w:after="0" w:line="240" w:lineRule="auto"/>
                    <w:jc w:val="center"/>
                    <w:rPr>
                      <w:rFonts w:ascii="Calibri" w:eastAsia="Times New Roman" w:hAnsi="Calibri" w:cs="Times New Roman"/>
                      <w:b/>
                      <w:bCs/>
                      <w:color w:val="FFFFFF"/>
                      <w:sz w:val="18"/>
                      <w:szCs w:val="20"/>
                      <w:lang w:eastAsia="ro-RO"/>
                    </w:rPr>
                  </w:pPr>
                  <w:r w:rsidRPr="00471808">
                    <w:rPr>
                      <w:rFonts w:ascii="Calibri" w:eastAsia="Times New Roman" w:hAnsi="Calibri" w:cs="Times New Roman"/>
                      <w:b/>
                      <w:bCs/>
                      <w:color w:val="FFFFFF"/>
                      <w:sz w:val="18"/>
                      <w:szCs w:val="20"/>
                      <w:lang w:eastAsia="ro-RO"/>
                    </w:rPr>
                    <w:t>Ungaria</w:t>
                  </w:r>
                </w:p>
              </w:tc>
              <w:tc>
                <w:tcPr>
                  <w:tcW w:w="842" w:type="dxa"/>
                  <w:tcBorders>
                    <w:top w:val="single" w:sz="4" w:space="0" w:color="auto"/>
                    <w:left w:val="nil"/>
                    <w:bottom w:val="single" w:sz="4" w:space="0" w:color="auto"/>
                    <w:right w:val="single" w:sz="4" w:space="0" w:color="auto"/>
                  </w:tcBorders>
                  <w:shd w:val="clear" w:color="000000" w:fill="03365F"/>
                  <w:noWrap/>
                  <w:vAlign w:val="bottom"/>
                  <w:hideMark/>
                </w:tcPr>
                <w:p w:rsidR="00930C8D" w:rsidRPr="00471808" w:rsidRDefault="00930C8D" w:rsidP="008B40D6">
                  <w:pPr>
                    <w:spacing w:after="0" w:line="240" w:lineRule="auto"/>
                    <w:jc w:val="center"/>
                    <w:rPr>
                      <w:rFonts w:ascii="Calibri" w:eastAsia="Times New Roman" w:hAnsi="Calibri" w:cs="Times New Roman"/>
                      <w:b/>
                      <w:bCs/>
                      <w:color w:val="FFFFFF"/>
                      <w:sz w:val="18"/>
                      <w:szCs w:val="20"/>
                      <w:lang w:eastAsia="ro-RO"/>
                    </w:rPr>
                  </w:pPr>
                  <w:r w:rsidRPr="00471808">
                    <w:rPr>
                      <w:rFonts w:ascii="Calibri" w:eastAsia="Times New Roman" w:hAnsi="Calibri" w:cs="Times New Roman"/>
                      <w:b/>
                      <w:bCs/>
                      <w:color w:val="FFFFFF"/>
                      <w:sz w:val="18"/>
                      <w:szCs w:val="20"/>
                      <w:lang w:eastAsia="ro-RO"/>
                    </w:rPr>
                    <w:t>Polonia</w:t>
                  </w:r>
                </w:p>
              </w:tc>
              <w:tc>
                <w:tcPr>
                  <w:tcW w:w="740" w:type="dxa"/>
                  <w:tcBorders>
                    <w:top w:val="single" w:sz="4" w:space="0" w:color="auto"/>
                    <w:left w:val="nil"/>
                    <w:bottom w:val="single" w:sz="4" w:space="0" w:color="auto"/>
                    <w:right w:val="single" w:sz="4" w:space="0" w:color="auto"/>
                  </w:tcBorders>
                  <w:shd w:val="clear" w:color="000000" w:fill="03365F"/>
                  <w:noWrap/>
                  <w:vAlign w:val="bottom"/>
                  <w:hideMark/>
                </w:tcPr>
                <w:p w:rsidR="00930C8D" w:rsidRPr="00471808" w:rsidRDefault="00930C8D" w:rsidP="008B40D6">
                  <w:pPr>
                    <w:spacing w:after="0" w:line="240" w:lineRule="auto"/>
                    <w:jc w:val="center"/>
                    <w:rPr>
                      <w:rFonts w:ascii="Calibri" w:eastAsia="Times New Roman" w:hAnsi="Calibri" w:cs="Times New Roman"/>
                      <w:b/>
                      <w:bCs/>
                      <w:color w:val="FFFFFF"/>
                      <w:sz w:val="18"/>
                      <w:szCs w:val="20"/>
                      <w:lang w:eastAsia="ro-RO"/>
                    </w:rPr>
                  </w:pPr>
                  <w:r w:rsidRPr="00471808">
                    <w:rPr>
                      <w:rFonts w:ascii="Calibri" w:eastAsia="Times New Roman" w:hAnsi="Calibri" w:cs="Times New Roman"/>
                      <w:b/>
                      <w:bCs/>
                      <w:color w:val="FFFFFF"/>
                      <w:sz w:val="18"/>
                      <w:szCs w:val="20"/>
                      <w:lang w:eastAsia="ro-RO"/>
                    </w:rPr>
                    <w:t xml:space="preserve">Cehia </w:t>
                  </w:r>
                </w:p>
              </w:tc>
            </w:tr>
            <w:tr w:rsidR="00930C8D" w:rsidRPr="00A175B7" w:rsidTr="008B40D6">
              <w:trPr>
                <w:trHeight w:val="28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0</w:t>
                  </w:r>
                </w:p>
              </w:tc>
              <w:tc>
                <w:tcPr>
                  <w:tcW w:w="953"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0</w:t>
                  </w:r>
                </w:p>
              </w:tc>
              <w:tc>
                <w:tcPr>
                  <w:tcW w:w="867"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0</w:t>
                  </w:r>
                </w:p>
              </w:tc>
              <w:tc>
                <w:tcPr>
                  <w:tcW w:w="842"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0</w:t>
                  </w:r>
                </w:p>
              </w:tc>
              <w:tc>
                <w:tcPr>
                  <w:tcW w:w="740"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0</w:t>
                  </w:r>
                </w:p>
              </w:tc>
            </w:tr>
            <w:tr w:rsidR="00930C8D" w:rsidRPr="00A175B7" w:rsidTr="008B40D6">
              <w:trPr>
                <w:trHeight w:val="28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1%</w:t>
                  </w:r>
                </w:p>
              </w:tc>
              <w:tc>
                <w:tcPr>
                  <w:tcW w:w="953"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67%</w:t>
                  </w:r>
                </w:p>
              </w:tc>
              <w:tc>
                <w:tcPr>
                  <w:tcW w:w="867"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52%</w:t>
                  </w:r>
                </w:p>
              </w:tc>
              <w:tc>
                <w:tcPr>
                  <w:tcW w:w="842"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48%</w:t>
                  </w:r>
                </w:p>
              </w:tc>
              <w:tc>
                <w:tcPr>
                  <w:tcW w:w="740"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40%</w:t>
                  </w:r>
                </w:p>
              </w:tc>
            </w:tr>
            <w:tr w:rsidR="00930C8D" w:rsidRPr="00A175B7" w:rsidTr="008B40D6">
              <w:trPr>
                <w:trHeight w:val="28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5%</w:t>
                  </w:r>
                </w:p>
              </w:tc>
              <w:tc>
                <w:tcPr>
                  <w:tcW w:w="953"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86%</w:t>
                  </w:r>
                </w:p>
              </w:tc>
              <w:tc>
                <w:tcPr>
                  <w:tcW w:w="867"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64%</w:t>
                  </w:r>
                </w:p>
              </w:tc>
              <w:tc>
                <w:tcPr>
                  <w:tcW w:w="842"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62%</w:t>
                  </w:r>
                </w:p>
              </w:tc>
              <w:tc>
                <w:tcPr>
                  <w:tcW w:w="740"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51%</w:t>
                  </w:r>
                </w:p>
              </w:tc>
            </w:tr>
            <w:tr w:rsidR="00930C8D" w:rsidRPr="00A175B7" w:rsidTr="008B40D6">
              <w:trPr>
                <w:trHeight w:val="28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10%</w:t>
                  </w:r>
                </w:p>
              </w:tc>
              <w:tc>
                <w:tcPr>
                  <w:tcW w:w="953"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91%</w:t>
                  </w:r>
                </w:p>
              </w:tc>
              <w:tc>
                <w:tcPr>
                  <w:tcW w:w="867"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72%</w:t>
                  </w:r>
                </w:p>
              </w:tc>
              <w:tc>
                <w:tcPr>
                  <w:tcW w:w="842"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68%</w:t>
                  </w:r>
                </w:p>
              </w:tc>
              <w:tc>
                <w:tcPr>
                  <w:tcW w:w="740"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59%</w:t>
                  </w:r>
                </w:p>
              </w:tc>
            </w:tr>
            <w:tr w:rsidR="00930C8D" w:rsidRPr="00A175B7" w:rsidTr="008B40D6">
              <w:trPr>
                <w:trHeight w:val="28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20%</w:t>
                  </w:r>
                </w:p>
              </w:tc>
              <w:tc>
                <w:tcPr>
                  <w:tcW w:w="953"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95%</w:t>
                  </w:r>
                </w:p>
              </w:tc>
              <w:tc>
                <w:tcPr>
                  <w:tcW w:w="867"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78%</w:t>
                  </w:r>
                </w:p>
              </w:tc>
              <w:tc>
                <w:tcPr>
                  <w:tcW w:w="842"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73%</w:t>
                  </w:r>
                </w:p>
              </w:tc>
              <w:tc>
                <w:tcPr>
                  <w:tcW w:w="740"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65%</w:t>
                  </w:r>
                </w:p>
              </w:tc>
            </w:tr>
            <w:tr w:rsidR="00930C8D" w:rsidRPr="00A175B7" w:rsidTr="008B40D6">
              <w:trPr>
                <w:trHeight w:val="28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50%</w:t>
                  </w:r>
                </w:p>
              </w:tc>
              <w:tc>
                <w:tcPr>
                  <w:tcW w:w="953"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98%</w:t>
                  </w:r>
                </w:p>
              </w:tc>
              <w:tc>
                <w:tcPr>
                  <w:tcW w:w="867"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81%</w:t>
                  </w:r>
                </w:p>
              </w:tc>
              <w:tc>
                <w:tcPr>
                  <w:tcW w:w="842"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75%</w:t>
                  </w:r>
                </w:p>
              </w:tc>
              <w:tc>
                <w:tcPr>
                  <w:tcW w:w="740" w:type="dxa"/>
                  <w:tcBorders>
                    <w:top w:val="nil"/>
                    <w:left w:val="nil"/>
                    <w:bottom w:val="single" w:sz="4" w:space="0" w:color="auto"/>
                    <w:right w:val="single" w:sz="4" w:space="0" w:color="auto"/>
                  </w:tcBorders>
                  <w:shd w:val="clear" w:color="auto" w:fill="auto"/>
                  <w:noWrap/>
                  <w:vAlign w:val="bottom"/>
                  <w:hideMark/>
                </w:tcPr>
                <w:p w:rsidR="00930C8D" w:rsidRPr="00A175B7" w:rsidRDefault="00930C8D" w:rsidP="008B40D6">
                  <w:pPr>
                    <w:spacing w:after="0" w:line="240" w:lineRule="auto"/>
                    <w:jc w:val="center"/>
                    <w:rPr>
                      <w:rFonts w:ascii="Calibri" w:eastAsia="Times New Roman" w:hAnsi="Calibri" w:cs="Times New Roman"/>
                      <w:color w:val="000000"/>
                      <w:sz w:val="20"/>
                      <w:szCs w:val="20"/>
                      <w:lang w:eastAsia="ro-RO"/>
                    </w:rPr>
                  </w:pPr>
                  <w:r w:rsidRPr="00A175B7">
                    <w:rPr>
                      <w:rFonts w:ascii="Calibri" w:eastAsia="Times New Roman" w:hAnsi="Calibri" w:cs="Times New Roman"/>
                      <w:color w:val="000000"/>
                      <w:sz w:val="20"/>
                      <w:szCs w:val="20"/>
                      <w:lang w:eastAsia="ro-RO"/>
                    </w:rPr>
                    <w:t>67%</w:t>
                  </w:r>
                </w:p>
              </w:tc>
            </w:tr>
          </w:tbl>
          <w:p w:rsidR="00930C8D" w:rsidRDefault="00930C8D" w:rsidP="00930C8D">
            <w:r w:rsidRPr="00A175B7">
              <w:t>Sursa: Eurostat</w:t>
            </w:r>
            <w:r>
              <w:t>, date prelucrate autor</w:t>
            </w:r>
          </w:p>
        </w:tc>
        <w:tc>
          <w:tcPr>
            <w:tcW w:w="6005" w:type="dxa"/>
            <w:gridSpan w:val="2"/>
          </w:tcPr>
          <w:p w:rsidR="00930C8D" w:rsidRDefault="00930C8D" w:rsidP="00930C8D">
            <w:pPr>
              <w:jc w:val="both"/>
              <w:rPr>
                <w:rFonts w:ascii="Times New Roman" w:hAnsi="Times New Roman" w:cs="Times New Roman"/>
                <w:sz w:val="24"/>
                <w:szCs w:val="24"/>
              </w:rPr>
            </w:pPr>
            <w:r w:rsidRPr="00930C8D">
              <w:rPr>
                <w:rFonts w:ascii="Times New Roman" w:hAnsi="Times New Roman" w:cs="Times New Roman"/>
                <w:b/>
                <w:sz w:val="24"/>
                <w:szCs w:val="24"/>
              </w:rPr>
              <w:t>Tabel 6:</w:t>
            </w:r>
            <w:r w:rsidRPr="00930C8D">
              <w:rPr>
                <w:rFonts w:ascii="Times New Roman" w:hAnsi="Times New Roman" w:cs="Times New Roman"/>
                <w:sz w:val="24"/>
                <w:szCs w:val="24"/>
              </w:rPr>
              <w:t xml:space="preserve"> Companii active versus populatie</w:t>
            </w:r>
          </w:p>
          <w:p w:rsidR="008B40D6" w:rsidRPr="00930C8D" w:rsidRDefault="008B40D6" w:rsidP="00930C8D">
            <w:pPr>
              <w:jc w:val="both"/>
              <w:rPr>
                <w:rFonts w:ascii="Times New Roman" w:hAnsi="Times New Roman" w:cs="Times New Roman"/>
                <w:sz w:val="24"/>
                <w:szCs w:val="24"/>
              </w:rPr>
            </w:pPr>
          </w:p>
          <w:tbl>
            <w:tblPr>
              <w:tblW w:w="5900" w:type="dxa"/>
              <w:tblLook w:val="04A0" w:firstRow="1" w:lastRow="0" w:firstColumn="1" w:lastColumn="0" w:noHBand="0" w:noVBand="1"/>
            </w:tblPr>
            <w:tblGrid>
              <w:gridCol w:w="960"/>
              <w:gridCol w:w="1740"/>
              <w:gridCol w:w="1360"/>
              <w:gridCol w:w="1840"/>
            </w:tblGrid>
            <w:tr w:rsidR="00930C8D" w:rsidRPr="00B542F1" w:rsidTr="008B40D6">
              <w:trPr>
                <w:trHeight w:val="576"/>
              </w:trPr>
              <w:tc>
                <w:tcPr>
                  <w:tcW w:w="960" w:type="dxa"/>
                  <w:tcBorders>
                    <w:top w:val="single" w:sz="4" w:space="0" w:color="auto"/>
                    <w:left w:val="single" w:sz="4" w:space="0" w:color="auto"/>
                    <w:bottom w:val="single" w:sz="4" w:space="0" w:color="auto"/>
                    <w:right w:val="single" w:sz="4" w:space="0" w:color="auto"/>
                  </w:tcBorders>
                  <w:shd w:val="clear" w:color="000000" w:fill="03365F"/>
                  <w:vAlign w:val="center"/>
                  <w:hideMark/>
                </w:tcPr>
                <w:p w:rsidR="00930C8D" w:rsidRPr="00B542F1" w:rsidRDefault="00930C8D" w:rsidP="008B40D6">
                  <w:pPr>
                    <w:spacing w:after="0" w:line="240" w:lineRule="auto"/>
                    <w:rPr>
                      <w:rFonts w:ascii="Calibri" w:eastAsia="Times New Roman" w:hAnsi="Calibri" w:cs="Times New Roman"/>
                      <w:b/>
                      <w:bCs/>
                      <w:color w:val="FFFFFF"/>
                      <w:sz w:val="20"/>
                      <w:lang w:eastAsia="ro-RO"/>
                    </w:rPr>
                  </w:pPr>
                  <w:r w:rsidRPr="00B542F1">
                    <w:rPr>
                      <w:rFonts w:ascii="Calibri" w:eastAsia="Times New Roman" w:hAnsi="Calibri" w:cs="Times New Roman"/>
                      <w:b/>
                      <w:bCs/>
                      <w:color w:val="FFFFFF"/>
                      <w:sz w:val="20"/>
                      <w:lang w:eastAsia="ro-RO"/>
                    </w:rPr>
                    <w:t>Tara</w:t>
                  </w:r>
                </w:p>
              </w:tc>
              <w:tc>
                <w:tcPr>
                  <w:tcW w:w="1740" w:type="dxa"/>
                  <w:tcBorders>
                    <w:top w:val="single" w:sz="4" w:space="0" w:color="auto"/>
                    <w:left w:val="nil"/>
                    <w:bottom w:val="single" w:sz="4" w:space="0" w:color="auto"/>
                    <w:right w:val="single" w:sz="4" w:space="0" w:color="auto"/>
                  </w:tcBorders>
                  <w:shd w:val="clear" w:color="000000" w:fill="03365F"/>
                  <w:vAlign w:val="center"/>
                  <w:hideMark/>
                </w:tcPr>
                <w:p w:rsidR="00930C8D" w:rsidRPr="00B542F1" w:rsidRDefault="00930C8D" w:rsidP="008B40D6">
                  <w:pPr>
                    <w:spacing w:after="0" w:line="240" w:lineRule="auto"/>
                    <w:jc w:val="center"/>
                    <w:rPr>
                      <w:rFonts w:ascii="Calibri" w:eastAsia="Times New Roman" w:hAnsi="Calibri" w:cs="Times New Roman"/>
                      <w:b/>
                      <w:bCs/>
                      <w:color w:val="FFFFFF"/>
                      <w:sz w:val="20"/>
                      <w:lang w:eastAsia="ro-RO"/>
                    </w:rPr>
                  </w:pPr>
                  <w:r w:rsidRPr="00B542F1">
                    <w:rPr>
                      <w:rFonts w:ascii="Calibri" w:eastAsia="Times New Roman" w:hAnsi="Calibri" w:cs="Times New Roman"/>
                      <w:b/>
                      <w:bCs/>
                      <w:color w:val="FFFFFF"/>
                      <w:sz w:val="20"/>
                      <w:lang w:eastAsia="ro-RO"/>
                    </w:rPr>
                    <w:t xml:space="preserve"> Total Companii Active</w:t>
                  </w:r>
                </w:p>
              </w:tc>
              <w:tc>
                <w:tcPr>
                  <w:tcW w:w="1360" w:type="dxa"/>
                  <w:tcBorders>
                    <w:top w:val="single" w:sz="4" w:space="0" w:color="auto"/>
                    <w:left w:val="nil"/>
                    <w:bottom w:val="single" w:sz="4" w:space="0" w:color="auto"/>
                    <w:right w:val="single" w:sz="4" w:space="0" w:color="auto"/>
                  </w:tcBorders>
                  <w:shd w:val="clear" w:color="000000" w:fill="03365F"/>
                  <w:vAlign w:val="center"/>
                  <w:hideMark/>
                </w:tcPr>
                <w:p w:rsidR="00930C8D" w:rsidRPr="00B542F1" w:rsidRDefault="00930C8D" w:rsidP="008B40D6">
                  <w:pPr>
                    <w:spacing w:after="0" w:line="240" w:lineRule="auto"/>
                    <w:jc w:val="center"/>
                    <w:rPr>
                      <w:rFonts w:ascii="Calibri" w:eastAsia="Times New Roman" w:hAnsi="Calibri" w:cs="Times New Roman"/>
                      <w:b/>
                      <w:bCs/>
                      <w:color w:val="FFFFFF"/>
                      <w:sz w:val="20"/>
                      <w:lang w:eastAsia="ro-RO"/>
                    </w:rPr>
                  </w:pPr>
                  <w:r w:rsidRPr="00B542F1">
                    <w:rPr>
                      <w:rFonts w:ascii="Calibri" w:eastAsia="Times New Roman" w:hAnsi="Calibri" w:cs="Times New Roman"/>
                      <w:b/>
                      <w:bCs/>
                      <w:color w:val="FFFFFF"/>
                      <w:sz w:val="20"/>
                      <w:lang w:eastAsia="ro-RO"/>
                    </w:rPr>
                    <w:t xml:space="preserve"> Total Populatie</w:t>
                  </w:r>
                </w:p>
              </w:tc>
              <w:tc>
                <w:tcPr>
                  <w:tcW w:w="1840" w:type="dxa"/>
                  <w:tcBorders>
                    <w:top w:val="single" w:sz="4" w:space="0" w:color="auto"/>
                    <w:left w:val="nil"/>
                    <w:bottom w:val="single" w:sz="4" w:space="0" w:color="auto"/>
                    <w:right w:val="single" w:sz="4" w:space="0" w:color="auto"/>
                  </w:tcBorders>
                  <w:shd w:val="clear" w:color="000000" w:fill="03365F"/>
                  <w:vAlign w:val="center"/>
                  <w:hideMark/>
                </w:tcPr>
                <w:p w:rsidR="00930C8D" w:rsidRPr="00B542F1" w:rsidRDefault="00930C8D" w:rsidP="008B40D6">
                  <w:pPr>
                    <w:spacing w:after="0" w:line="240" w:lineRule="auto"/>
                    <w:jc w:val="center"/>
                    <w:rPr>
                      <w:rFonts w:ascii="Calibri" w:eastAsia="Times New Roman" w:hAnsi="Calibri" w:cs="Times New Roman"/>
                      <w:b/>
                      <w:bCs/>
                      <w:color w:val="FFFFFF"/>
                      <w:sz w:val="20"/>
                      <w:lang w:eastAsia="ro-RO"/>
                    </w:rPr>
                  </w:pPr>
                  <w:r w:rsidRPr="00B542F1">
                    <w:rPr>
                      <w:rFonts w:ascii="Calibri" w:eastAsia="Times New Roman" w:hAnsi="Calibri" w:cs="Times New Roman"/>
                      <w:b/>
                      <w:bCs/>
                      <w:color w:val="FFFFFF"/>
                      <w:sz w:val="20"/>
                      <w:lang w:eastAsia="ro-RO"/>
                    </w:rPr>
                    <w:t xml:space="preserve"> Nr. companii la 1.000 locuitori</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both"/>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Cehia</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1.471.000</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10.512.419</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140</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both"/>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Slovacia</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628.569</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5.415.949</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116</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both"/>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Letonia</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229.600</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2.001.468</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115</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Estonia </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139.000</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1.315.819</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106</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both"/>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Slovenia </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185.500</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2.061.085</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90</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both"/>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Ungaria</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595.212</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9.877.365</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60</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both"/>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Croatia </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253.988</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4.246.809</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60</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both"/>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Bulgaria </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398.416</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7.245.677</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55</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both"/>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Polonia</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1.795.000</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38.017.856</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47</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both"/>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Lituania</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93.017</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2.943.472</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32</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both"/>
                    <w:rPr>
                      <w:rFonts w:ascii="Calibri" w:eastAsia="Times New Roman" w:hAnsi="Calibri" w:cs="Times New Roman"/>
                      <w:b/>
                      <w:bCs/>
                      <w:color w:val="FF0000"/>
                      <w:sz w:val="20"/>
                      <w:lang w:eastAsia="ro-RO"/>
                    </w:rPr>
                  </w:pPr>
                  <w:r w:rsidRPr="00B542F1">
                    <w:rPr>
                      <w:rFonts w:ascii="Calibri" w:eastAsia="Times New Roman" w:hAnsi="Calibri" w:cs="Times New Roman"/>
                      <w:b/>
                      <w:bCs/>
                      <w:color w:val="FF0000"/>
                      <w:sz w:val="20"/>
                      <w:lang w:eastAsia="ro-RO"/>
                    </w:rPr>
                    <w:t xml:space="preserve">Romania </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b/>
                      <w:bCs/>
                      <w:color w:val="FF0000"/>
                      <w:sz w:val="20"/>
                      <w:lang w:eastAsia="ro-RO"/>
                    </w:rPr>
                  </w:pPr>
                  <w:r w:rsidRPr="00B542F1">
                    <w:rPr>
                      <w:rFonts w:ascii="Calibri" w:eastAsia="Times New Roman" w:hAnsi="Calibri" w:cs="Times New Roman"/>
                      <w:b/>
                      <w:bCs/>
                      <w:color w:val="FF0000"/>
                      <w:sz w:val="20"/>
                      <w:lang w:eastAsia="ro-RO"/>
                    </w:rPr>
                    <w:t>443.616</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b/>
                      <w:bCs/>
                      <w:color w:val="FF0000"/>
                      <w:sz w:val="20"/>
                      <w:lang w:eastAsia="ro-RO"/>
                    </w:rPr>
                  </w:pPr>
                  <w:r>
                    <w:rPr>
                      <w:rFonts w:ascii="Calibri" w:eastAsia="Times New Roman" w:hAnsi="Calibri" w:cs="Times New Roman"/>
                      <w:b/>
                      <w:bCs/>
                      <w:color w:val="FF0000"/>
                      <w:sz w:val="20"/>
                      <w:lang w:eastAsia="ro-RO"/>
                    </w:rPr>
                    <w:t>20.212.573</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b/>
                      <w:bCs/>
                      <w:color w:val="FF0000"/>
                      <w:sz w:val="20"/>
                      <w:lang w:eastAsia="ro-RO"/>
                    </w:rPr>
                  </w:pPr>
                  <w:r w:rsidRPr="00B542F1">
                    <w:rPr>
                      <w:rFonts w:ascii="Calibri" w:eastAsia="Times New Roman" w:hAnsi="Calibri" w:cs="Times New Roman"/>
                      <w:b/>
                      <w:bCs/>
                      <w:color w:val="FF0000"/>
                      <w:sz w:val="20"/>
                      <w:lang w:eastAsia="ro-RO"/>
                    </w:rPr>
                    <w:t>23</w:t>
                  </w:r>
                </w:p>
              </w:tc>
            </w:tr>
            <w:tr w:rsidR="00930C8D" w:rsidRPr="00B542F1" w:rsidTr="008B40D6">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 xml:space="preserve"> Serbia</w:t>
                  </w:r>
                </w:p>
              </w:tc>
              <w:tc>
                <w:tcPr>
                  <w:tcW w:w="1740" w:type="dxa"/>
                  <w:tcBorders>
                    <w:top w:val="nil"/>
                    <w:left w:val="nil"/>
                    <w:bottom w:val="single" w:sz="4" w:space="0" w:color="auto"/>
                    <w:right w:val="single" w:sz="4" w:space="0" w:color="auto"/>
                  </w:tcBorders>
                  <w:shd w:val="clear" w:color="auto" w:fill="auto"/>
                  <w:vAlign w:val="center"/>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115.692</w:t>
                  </w:r>
                </w:p>
              </w:tc>
              <w:tc>
                <w:tcPr>
                  <w:tcW w:w="136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7.146.759</w:t>
                  </w:r>
                </w:p>
              </w:tc>
              <w:tc>
                <w:tcPr>
                  <w:tcW w:w="1840" w:type="dxa"/>
                  <w:tcBorders>
                    <w:top w:val="nil"/>
                    <w:left w:val="nil"/>
                    <w:bottom w:val="single" w:sz="4" w:space="0" w:color="auto"/>
                    <w:right w:val="single" w:sz="4" w:space="0" w:color="auto"/>
                  </w:tcBorders>
                  <w:shd w:val="clear" w:color="auto" w:fill="auto"/>
                  <w:vAlign w:val="bottom"/>
                  <w:hideMark/>
                </w:tcPr>
                <w:p w:rsidR="00930C8D" w:rsidRPr="00B542F1" w:rsidRDefault="00930C8D" w:rsidP="008B40D6">
                  <w:pPr>
                    <w:spacing w:after="0" w:line="240" w:lineRule="auto"/>
                    <w:jc w:val="center"/>
                    <w:rPr>
                      <w:rFonts w:ascii="Calibri" w:eastAsia="Times New Roman" w:hAnsi="Calibri" w:cs="Times New Roman"/>
                      <w:color w:val="000000"/>
                      <w:sz w:val="20"/>
                      <w:lang w:eastAsia="ro-RO"/>
                    </w:rPr>
                  </w:pPr>
                  <w:r w:rsidRPr="00B542F1">
                    <w:rPr>
                      <w:rFonts w:ascii="Calibri" w:eastAsia="Times New Roman" w:hAnsi="Calibri" w:cs="Times New Roman"/>
                      <w:color w:val="000000"/>
                      <w:sz w:val="20"/>
                      <w:lang w:eastAsia="ro-RO"/>
                    </w:rPr>
                    <w:t>17</w:t>
                  </w:r>
                </w:p>
              </w:tc>
            </w:tr>
          </w:tbl>
          <w:p w:rsidR="00930C8D" w:rsidRPr="008B40D6" w:rsidRDefault="00930C8D" w:rsidP="00930C8D">
            <w:pPr>
              <w:rPr>
                <w:sz w:val="10"/>
              </w:rPr>
            </w:pPr>
          </w:p>
          <w:p w:rsidR="00930C8D" w:rsidRDefault="00930C8D" w:rsidP="00930C8D">
            <w:r>
              <w:t>Sursa: INSSE, Eurostat, date prelucrate autor</w:t>
            </w:r>
          </w:p>
        </w:tc>
      </w:tr>
      <w:tr w:rsidR="008B40D6" w:rsidTr="004A6091">
        <w:tc>
          <w:tcPr>
            <w:tcW w:w="10564" w:type="dxa"/>
            <w:gridSpan w:val="3"/>
          </w:tcPr>
          <w:p w:rsidR="008B40D6" w:rsidRPr="008B40D6" w:rsidRDefault="008B40D6" w:rsidP="008B40D6">
            <w:pPr>
              <w:jc w:val="both"/>
              <w:rPr>
                <w:rFonts w:ascii="Times New Roman" w:hAnsi="Times New Roman" w:cs="Times New Roman"/>
                <w:sz w:val="24"/>
                <w:szCs w:val="24"/>
              </w:rPr>
            </w:pPr>
            <w:r w:rsidRPr="008B40D6">
              <w:rPr>
                <w:rFonts w:ascii="Times New Roman" w:hAnsi="Times New Roman" w:cs="Times New Roman"/>
                <w:sz w:val="24"/>
                <w:szCs w:val="24"/>
              </w:rPr>
              <w:t>Pentru a intelege si mai bine detaliile acestui fenomen de polarizare accentuata a mediului de afaceri, ne vom concentra atentia asupra analizei celor mai mari 1.000 de companii din Romania, clasament realizat in baza cifrei de afaceri raportate pentru anul 2015. Conform cifrelor ilus</w:t>
            </w:r>
            <w:r>
              <w:rPr>
                <w:rFonts w:ascii="Times New Roman" w:hAnsi="Times New Roman" w:cs="Times New Roman"/>
                <w:sz w:val="24"/>
                <w:szCs w:val="24"/>
              </w:rPr>
              <w:t>trate in tabelul 7 si graficul 1</w:t>
            </w:r>
            <w:r w:rsidRPr="008B40D6">
              <w:rPr>
                <w:rFonts w:ascii="Times New Roman" w:hAnsi="Times New Roman" w:cs="Times New Roman"/>
                <w:sz w:val="24"/>
                <w:szCs w:val="24"/>
              </w:rPr>
              <w:t xml:space="preserve">, cele mai mari 1.000 de companii din Romania inregistrau o cifra de afaceri consolidata de 323 mld RON la finalul anului 2008, respectiv 35% din cifra de afaceri inregistrata la nivelul mediului de afaceri de catre toate companiile, ajungand la 567 mld RON la finalul anului 2015, respectiv 49% din total. </w:t>
            </w:r>
            <w:r>
              <w:rPr>
                <w:rFonts w:ascii="Times New Roman" w:hAnsi="Times New Roman" w:cs="Times New Roman"/>
                <w:sz w:val="24"/>
                <w:szCs w:val="24"/>
              </w:rPr>
              <w:t xml:space="preserve">Analizand tara de provenienta a actionariatului, doar o treime din cele mai mari 1.000 de firme din Romania sunt autohtone. </w:t>
            </w:r>
          </w:p>
          <w:p w:rsidR="008B40D6" w:rsidRPr="00930C8D" w:rsidRDefault="008B40D6" w:rsidP="00930C8D">
            <w:pPr>
              <w:jc w:val="both"/>
              <w:rPr>
                <w:rFonts w:ascii="Times New Roman" w:hAnsi="Times New Roman" w:cs="Times New Roman"/>
                <w:b/>
                <w:sz w:val="24"/>
                <w:szCs w:val="24"/>
              </w:rPr>
            </w:pPr>
          </w:p>
        </w:tc>
      </w:tr>
      <w:tr w:rsidR="008B40D6" w:rsidTr="004A6091">
        <w:tc>
          <w:tcPr>
            <w:tcW w:w="5161" w:type="dxa"/>
            <w:gridSpan w:val="2"/>
          </w:tcPr>
          <w:p w:rsidR="008B40D6" w:rsidRPr="008B40D6" w:rsidRDefault="008B40D6" w:rsidP="008B40D6">
            <w:pPr>
              <w:jc w:val="both"/>
              <w:rPr>
                <w:rFonts w:ascii="Times New Roman" w:hAnsi="Times New Roman" w:cs="Times New Roman"/>
              </w:rPr>
            </w:pPr>
            <w:r w:rsidRPr="008B40D6">
              <w:rPr>
                <w:rFonts w:ascii="Times New Roman" w:hAnsi="Times New Roman" w:cs="Times New Roman"/>
                <w:b/>
              </w:rPr>
              <w:t>Tabel 7:</w:t>
            </w:r>
            <w:r w:rsidRPr="008B40D6">
              <w:rPr>
                <w:rFonts w:ascii="Times New Roman" w:hAnsi="Times New Roman" w:cs="Times New Roman"/>
              </w:rPr>
              <w:t xml:space="preserve"> Veniturilor celor mai mari 1.000 de companii</w:t>
            </w:r>
          </w:p>
          <w:p w:rsidR="008B40D6" w:rsidRDefault="008B40D6" w:rsidP="008B40D6">
            <w:pPr>
              <w:jc w:val="both"/>
            </w:pPr>
          </w:p>
          <w:tbl>
            <w:tblPr>
              <w:tblW w:w="5133" w:type="dxa"/>
              <w:tblLook w:val="04A0" w:firstRow="1" w:lastRow="0" w:firstColumn="1" w:lastColumn="0" w:noHBand="0" w:noVBand="1"/>
            </w:tblPr>
            <w:tblGrid>
              <w:gridCol w:w="953"/>
              <w:gridCol w:w="2148"/>
              <w:gridCol w:w="1871"/>
            </w:tblGrid>
            <w:tr w:rsidR="008B40D6" w:rsidRPr="002E0315" w:rsidTr="008B40D6">
              <w:trPr>
                <w:trHeight w:val="288"/>
              </w:trPr>
              <w:tc>
                <w:tcPr>
                  <w:tcW w:w="980" w:type="dxa"/>
                  <w:tcBorders>
                    <w:top w:val="single" w:sz="4" w:space="0" w:color="auto"/>
                    <w:left w:val="single" w:sz="4" w:space="0" w:color="auto"/>
                    <w:bottom w:val="single" w:sz="4" w:space="0" w:color="auto"/>
                    <w:right w:val="single" w:sz="4" w:space="0" w:color="auto"/>
                  </w:tcBorders>
                  <w:shd w:val="clear" w:color="000000" w:fill="03365F"/>
                  <w:noWrap/>
                  <w:vAlign w:val="center"/>
                  <w:hideMark/>
                </w:tcPr>
                <w:p w:rsidR="008B40D6" w:rsidRPr="002E0315" w:rsidRDefault="008B40D6" w:rsidP="008B40D6">
                  <w:pPr>
                    <w:spacing w:after="0" w:line="240" w:lineRule="auto"/>
                    <w:jc w:val="center"/>
                    <w:rPr>
                      <w:rFonts w:ascii="Calibri" w:eastAsia="Times New Roman" w:hAnsi="Calibri" w:cs="Times New Roman"/>
                      <w:color w:val="FFFFFF"/>
                      <w:lang w:eastAsia="ro-RO"/>
                    </w:rPr>
                  </w:pPr>
                  <w:r w:rsidRPr="002E0315">
                    <w:rPr>
                      <w:rFonts w:ascii="Calibri" w:eastAsia="Times New Roman" w:hAnsi="Calibri" w:cs="Times New Roman"/>
                      <w:color w:val="FFFFFF"/>
                      <w:lang w:eastAsia="ro-RO"/>
                    </w:rPr>
                    <w:t>An</w:t>
                  </w:r>
                </w:p>
              </w:tc>
              <w:tc>
                <w:tcPr>
                  <w:tcW w:w="2220" w:type="dxa"/>
                  <w:tcBorders>
                    <w:top w:val="single" w:sz="4" w:space="0" w:color="auto"/>
                    <w:left w:val="nil"/>
                    <w:bottom w:val="single" w:sz="4" w:space="0" w:color="auto"/>
                    <w:right w:val="single" w:sz="4" w:space="0" w:color="auto"/>
                  </w:tcBorders>
                  <w:shd w:val="clear" w:color="000000" w:fill="03365F"/>
                  <w:noWrap/>
                  <w:vAlign w:val="center"/>
                  <w:hideMark/>
                </w:tcPr>
                <w:p w:rsidR="008B40D6" w:rsidRPr="002E0315" w:rsidRDefault="008B40D6" w:rsidP="008B40D6">
                  <w:pPr>
                    <w:spacing w:after="0" w:line="240" w:lineRule="auto"/>
                    <w:jc w:val="center"/>
                    <w:rPr>
                      <w:rFonts w:ascii="Calibri" w:eastAsia="Times New Roman" w:hAnsi="Calibri" w:cs="Times New Roman"/>
                      <w:color w:val="FFFFFF"/>
                      <w:lang w:eastAsia="ro-RO"/>
                    </w:rPr>
                  </w:pPr>
                  <w:r w:rsidRPr="002E0315">
                    <w:rPr>
                      <w:rFonts w:ascii="Calibri" w:eastAsia="Times New Roman" w:hAnsi="Calibri" w:cs="Times New Roman"/>
                      <w:color w:val="FFFFFF"/>
                      <w:lang w:eastAsia="ro-RO"/>
                    </w:rPr>
                    <w:t>Cifra Afaceri (mld RON)</w:t>
                  </w:r>
                </w:p>
              </w:tc>
              <w:tc>
                <w:tcPr>
                  <w:tcW w:w="1933" w:type="dxa"/>
                  <w:tcBorders>
                    <w:top w:val="single" w:sz="4" w:space="0" w:color="auto"/>
                    <w:left w:val="nil"/>
                    <w:bottom w:val="single" w:sz="4" w:space="0" w:color="auto"/>
                    <w:right w:val="single" w:sz="4" w:space="0" w:color="auto"/>
                  </w:tcBorders>
                  <w:shd w:val="clear" w:color="000000" w:fill="03365F"/>
                  <w:noWrap/>
                  <w:vAlign w:val="center"/>
                  <w:hideMark/>
                </w:tcPr>
                <w:p w:rsidR="008B40D6" w:rsidRPr="002E0315" w:rsidRDefault="008B40D6" w:rsidP="008B40D6">
                  <w:pPr>
                    <w:spacing w:after="0" w:line="240" w:lineRule="auto"/>
                    <w:jc w:val="center"/>
                    <w:rPr>
                      <w:rFonts w:ascii="Calibri" w:eastAsia="Times New Roman" w:hAnsi="Calibri" w:cs="Times New Roman"/>
                      <w:color w:val="FFFFFF"/>
                      <w:lang w:eastAsia="ro-RO"/>
                    </w:rPr>
                  </w:pPr>
                  <w:r w:rsidRPr="002E0315">
                    <w:rPr>
                      <w:rFonts w:ascii="Calibri" w:eastAsia="Times New Roman" w:hAnsi="Calibri" w:cs="Times New Roman"/>
                      <w:color w:val="FFFFFF"/>
                      <w:lang w:eastAsia="ro-RO"/>
                    </w:rPr>
                    <w:t xml:space="preserve">Pondere cifra afaceri total </w:t>
                  </w:r>
                </w:p>
              </w:tc>
            </w:tr>
            <w:tr w:rsidR="008B40D6" w:rsidRPr="002E0315" w:rsidTr="008B40D6">
              <w:trPr>
                <w:trHeight w:val="28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2008</w:t>
                  </w:r>
                </w:p>
              </w:tc>
              <w:tc>
                <w:tcPr>
                  <w:tcW w:w="2220" w:type="dxa"/>
                  <w:tcBorders>
                    <w:top w:val="nil"/>
                    <w:left w:val="nil"/>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323</w:t>
                  </w:r>
                </w:p>
              </w:tc>
              <w:tc>
                <w:tcPr>
                  <w:tcW w:w="1933" w:type="dxa"/>
                  <w:tcBorders>
                    <w:top w:val="nil"/>
                    <w:left w:val="nil"/>
                    <w:bottom w:val="single" w:sz="4" w:space="0" w:color="auto"/>
                    <w:right w:val="single" w:sz="4" w:space="0" w:color="auto"/>
                  </w:tcBorders>
                  <w:shd w:val="clear" w:color="auto" w:fill="auto"/>
                  <w:noWrap/>
                  <w:vAlign w:val="bottom"/>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35%</w:t>
                  </w:r>
                </w:p>
              </w:tc>
            </w:tr>
            <w:tr w:rsidR="008B40D6" w:rsidRPr="002E0315" w:rsidTr="008B40D6">
              <w:trPr>
                <w:trHeight w:val="28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2009</w:t>
                  </w:r>
                </w:p>
              </w:tc>
              <w:tc>
                <w:tcPr>
                  <w:tcW w:w="2220" w:type="dxa"/>
                  <w:tcBorders>
                    <w:top w:val="nil"/>
                    <w:left w:val="nil"/>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295</w:t>
                  </w:r>
                </w:p>
              </w:tc>
              <w:tc>
                <w:tcPr>
                  <w:tcW w:w="1933" w:type="dxa"/>
                  <w:tcBorders>
                    <w:top w:val="nil"/>
                    <w:left w:val="nil"/>
                    <w:bottom w:val="single" w:sz="4" w:space="0" w:color="auto"/>
                    <w:right w:val="single" w:sz="4" w:space="0" w:color="auto"/>
                  </w:tcBorders>
                  <w:shd w:val="clear" w:color="auto" w:fill="auto"/>
                  <w:noWrap/>
                  <w:vAlign w:val="bottom"/>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34%</w:t>
                  </w:r>
                </w:p>
              </w:tc>
            </w:tr>
            <w:tr w:rsidR="008B40D6" w:rsidRPr="002E0315" w:rsidTr="008B40D6">
              <w:trPr>
                <w:trHeight w:val="28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2010</w:t>
                  </w:r>
                </w:p>
              </w:tc>
              <w:tc>
                <w:tcPr>
                  <w:tcW w:w="2220" w:type="dxa"/>
                  <w:tcBorders>
                    <w:top w:val="nil"/>
                    <w:left w:val="nil"/>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355</w:t>
                  </w:r>
                </w:p>
              </w:tc>
              <w:tc>
                <w:tcPr>
                  <w:tcW w:w="1933" w:type="dxa"/>
                  <w:tcBorders>
                    <w:top w:val="nil"/>
                    <w:left w:val="nil"/>
                    <w:bottom w:val="single" w:sz="4" w:space="0" w:color="auto"/>
                    <w:right w:val="single" w:sz="4" w:space="0" w:color="auto"/>
                  </w:tcBorders>
                  <w:shd w:val="clear" w:color="auto" w:fill="auto"/>
                  <w:noWrap/>
                  <w:vAlign w:val="bottom"/>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39%</w:t>
                  </w:r>
                </w:p>
              </w:tc>
            </w:tr>
            <w:tr w:rsidR="008B40D6" w:rsidRPr="002E0315" w:rsidTr="008B40D6">
              <w:trPr>
                <w:trHeight w:val="28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2011</w:t>
                  </w:r>
                </w:p>
              </w:tc>
              <w:tc>
                <w:tcPr>
                  <w:tcW w:w="2220" w:type="dxa"/>
                  <w:tcBorders>
                    <w:top w:val="nil"/>
                    <w:left w:val="nil"/>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438</w:t>
                  </w:r>
                </w:p>
              </w:tc>
              <w:tc>
                <w:tcPr>
                  <w:tcW w:w="1933" w:type="dxa"/>
                  <w:tcBorders>
                    <w:top w:val="nil"/>
                    <w:left w:val="nil"/>
                    <w:bottom w:val="single" w:sz="4" w:space="0" w:color="auto"/>
                    <w:right w:val="single" w:sz="4" w:space="0" w:color="auto"/>
                  </w:tcBorders>
                  <w:shd w:val="clear" w:color="auto" w:fill="auto"/>
                  <w:noWrap/>
                  <w:vAlign w:val="bottom"/>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44%</w:t>
                  </w:r>
                </w:p>
              </w:tc>
            </w:tr>
            <w:tr w:rsidR="008B40D6" w:rsidRPr="002E0315" w:rsidTr="008B40D6">
              <w:trPr>
                <w:trHeight w:val="28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2012</w:t>
                  </w:r>
                </w:p>
              </w:tc>
              <w:tc>
                <w:tcPr>
                  <w:tcW w:w="2220" w:type="dxa"/>
                  <w:tcBorders>
                    <w:top w:val="nil"/>
                    <w:left w:val="nil"/>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478</w:t>
                  </w:r>
                </w:p>
              </w:tc>
              <w:tc>
                <w:tcPr>
                  <w:tcW w:w="1933" w:type="dxa"/>
                  <w:tcBorders>
                    <w:top w:val="nil"/>
                    <w:left w:val="nil"/>
                    <w:bottom w:val="single" w:sz="4" w:space="0" w:color="auto"/>
                    <w:right w:val="single" w:sz="4" w:space="0" w:color="auto"/>
                  </w:tcBorders>
                  <w:shd w:val="clear" w:color="auto" w:fill="auto"/>
                  <w:noWrap/>
                  <w:vAlign w:val="bottom"/>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45%</w:t>
                  </w:r>
                </w:p>
              </w:tc>
            </w:tr>
            <w:tr w:rsidR="008B40D6" w:rsidRPr="002E0315" w:rsidTr="008B40D6">
              <w:trPr>
                <w:trHeight w:val="28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2013</w:t>
                  </w:r>
                </w:p>
              </w:tc>
              <w:tc>
                <w:tcPr>
                  <w:tcW w:w="2220" w:type="dxa"/>
                  <w:tcBorders>
                    <w:top w:val="nil"/>
                    <w:left w:val="nil"/>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501</w:t>
                  </w:r>
                </w:p>
              </w:tc>
              <w:tc>
                <w:tcPr>
                  <w:tcW w:w="1933" w:type="dxa"/>
                  <w:tcBorders>
                    <w:top w:val="nil"/>
                    <w:left w:val="nil"/>
                    <w:bottom w:val="single" w:sz="4" w:space="0" w:color="auto"/>
                    <w:right w:val="single" w:sz="4" w:space="0" w:color="auto"/>
                  </w:tcBorders>
                  <w:shd w:val="clear" w:color="auto" w:fill="auto"/>
                  <w:noWrap/>
                  <w:vAlign w:val="bottom"/>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48%</w:t>
                  </w:r>
                </w:p>
              </w:tc>
            </w:tr>
            <w:tr w:rsidR="008B40D6" w:rsidRPr="002E0315" w:rsidTr="008B40D6">
              <w:trPr>
                <w:trHeight w:val="28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2014</w:t>
                  </w:r>
                </w:p>
              </w:tc>
              <w:tc>
                <w:tcPr>
                  <w:tcW w:w="2220" w:type="dxa"/>
                  <w:tcBorders>
                    <w:top w:val="nil"/>
                    <w:left w:val="nil"/>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532</w:t>
                  </w:r>
                </w:p>
              </w:tc>
              <w:tc>
                <w:tcPr>
                  <w:tcW w:w="1933" w:type="dxa"/>
                  <w:tcBorders>
                    <w:top w:val="nil"/>
                    <w:left w:val="nil"/>
                    <w:bottom w:val="single" w:sz="4" w:space="0" w:color="auto"/>
                    <w:right w:val="single" w:sz="4" w:space="0" w:color="auto"/>
                  </w:tcBorders>
                  <w:shd w:val="clear" w:color="auto" w:fill="auto"/>
                  <w:noWrap/>
                  <w:vAlign w:val="bottom"/>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48%</w:t>
                  </w:r>
                </w:p>
              </w:tc>
            </w:tr>
            <w:tr w:rsidR="008B40D6" w:rsidRPr="002E0315" w:rsidTr="008B40D6">
              <w:trPr>
                <w:trHeight w:val="28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2015</w:t>
                  </w:r>
                </w:p>
              </w:tc>
              <w:tc>
                <w:tcPr>
                  <w:tcW w:w="2220" w:type="dxa"/>
                  <w:tcBorders>
                    <w:top w:val="nil"/>
                    <w:left w:val="nil"/>
                    <w:bottom w:val="single" w:sz="4" w:space="0" w:color="auto"/>
                    <w:right w:val="single" w:sz="4" w:space="0" w:color="auto"/>
                  </w:tcBorders>
                  <w:shd w:val="clear" w:color="auto" w:fill="auto"/>
                  <w:noWrap/>
                  <w:vAlign w:val="center"/>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567</w:t>
                  </w:r>
                </w:p>
              </w:tc>
              <w:tc>
                <w:tcPr>
                  <w:tcW w:w="1933" w:type="dxa"/>
                  <w:tcBorders>
                    <w:top w:val="nil"/>
                    <w:left w:val="nil"/>
                    <w:bottom w:val="single" w:sz="4" w:space="0" w:color="auto"/>
                    <w:right w:val="single" w:sz="4" w:space="0" w:color="auto"/>
                  </w:tcBorders>
                  <w:shd w:val="clear" w:color="auto" w:fill="auto"/>
                  <w:noWrap/>
                  <w:vAlign w:val="bottom"/>
                  <w:hideMark/>
                </w:tcPr>
                <w:p w:rsidR="008B40D6" w:rsidRPr="002E0315" w:rsidRDefault="008B40D6" w:rsidP="008B40D6">
                  <w:pPr>
                    <w:spacing w:after="0" w:line="240" w:lineRule="auto"/>
                    <w:jc w:val="center"/>
                    <w:rPr>
                      <w:rFonts w:ascii="Calibri" w:eastAsia="Times New Roman" w:hAnsi="Calibri" w:cs="Times New Roman"/>
                      <w:lang w:eastAsia="ro-RO"/>
                    </w:rPr>
                  </w:pPr>
                  <w:r w:rsidRPr="002E0315">
                    <w:rPr>
                      <w:rFonts w:ascii="Calibri" w:eastAsia="Times New Roman" w:hAnsi="Calibri" w:cs="Times New Roman"/>
                      <w:lang w:eastAsia="ro-RO"/>
                    </w:rPr>
                    <w:t>49%</w:t>
                  </w:r>
                </w:p>
              </w:tc>
            </w:tr>
          </w:tbl>
          <w:p w:rsidR="008B40D6" w:rsidRPr="008B40D6" w:rsidRDefault="008B40D6" w:rsidP="008B40D6">
            <w:pPr>
              <w:jc w:val="both"/>
              <w:rPr>
                <w:rFonts w:ascii="Times New Roman" w:hAnsi="Times New Roman" w:cs="Times New Roman"/>
                <w:b/>
                <w:i/>
                <w:sz w:val="24"/>
                <w:szCs w:val="24"/>
              </w:rPr>
            </w:pPr>
            <w:r w:rsidRPr="008B40D6">
              <w:rPr>
                <w:rFonts w:ascii="Times New Roman" w:hAnsi="Times New Roman" w:cs="Times New Roman"/>
                <w:i/>
                <w:sz w:val="24"/>
                <w:szCs w:val="24"/>
              </w:rPr>
              <w:t>Sursa: MFP, date prelucrate autor</w:t>
            </w:r>
          </w:p>
        </w:tc>
        <w:tc>
          <w:tcPr>
            <w:tcW w:w="5403" w:type="dxa"/>
          </w:tcPr>
          <w:p w:rsidR="008B40D6" w:rsidRPr="008B40D6" w:rsidRDefault="008B40D6" w:rsidP="008B40D6">
            <w:pPr>
              <w:jc w:val="both"/>
              <w:rPr>
                <w:rFonts w:ascii="Times New Roman" w:hAnsi="Times New Roman" w:cs="Times New Roman"/>
              </w:rPr>
            </w:pPr>
            <w:r>
              <w:rPr>
                <w:rFonts w:ascii="Times New Roman" w:hAnsi="Times New Roman" w:cs="Times New Roman"/>
                <w:b/>
              </w:rPr>
              <w:t>Grafic 1</w:t>
            </w:r>
            <w:r w:rsidRPr="008B40D6">
              <w:rPr>
                <w:rFonts w:ascii="Times New Roman" w:hAnsi="Times New Roman" w:cs="Times New Roman"/>
                <w:b/>
              </w:rPr>
              <w:t>:</w:t>
            </w:r>
            <w:r w:rsidRPr="008B40D6">
              <w:rPr>
                <w:rFonts w:ascii="Times New Roman" w:hAnsi="Times New Roman" w:cs="Times New Roman"/>
              </w:rPr>
              <w:t xml:space="preserve"> Tara de provenienta a actionariatului majoritar pentru cele mai mari 1.000 de companii din Romania </w:t>
            </w:r>
          </w:p>
          <w:p w:rsidR="008B40D6" w:rsidRDefault="008B40D6" w:rsidP="008B40D6">
            <w:pPr>
              <w:jc w:val="both"/>
            </w:pPr>
            <w:r>
              <w:rPr>
                <w:noProof/>
                <w:lang w:eastAsia="ro-RO"/>
              </w:rPr>
              <w:drawing>
                <wp:inline distT="0" distB="0" distL="0" distR="0" wp14:anchorId="4805F88E" wp14:editId="281D409F">
                  <wp:extent cx="3166534" cy="1862667"/>
                  <wp:effectExtent l="0" t="0" r="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40D6" w:rsidRPr="008B40D6" w:rsidRDefault="008B40D6" w:rsidP="00E55139">
            <w:pPr>
              <w:jc w:val="both"/>
              <w:rPr>
                <w:rFonts w:ascii="Times New Roman" w:hAnsi="Times New Roman" w:cs="Times New Roman"/>
                <w:b/>
                <w:i/>
                <w:sz w:val="24"/>
                <w:szCs w:val="24"/>
              </w:rPr>
            </w:pPr>
            <w:r w:rsidRPr="008B40D6">
              <w:rPr>
                <w:rFonts w:ascii="Times New Roman" w:hAnsi="Times New Roman" w:cs="Times New Roman"/>
                <w:i/>
                <w:sz w:val="24"/>
                <w:szCs w:val="24"/>
              </w:rPr>
              <w:t xml:space="preserve">Sursa: ONRC, date prelucrate </w:t>
            </w:r>
            <w:r w:rsidR="00E55139">
              <w:rPr>
                <w:rFonts w:ascii="Times New Roman" w:hAnsi="Times New Roman" w:cs="Times New Roman"/>
                <w:i/>
                <w:sz w:val="24"/>
                <w:szCs w:val="24"/>
              </w:rPr>
              <w:t>autor</w:t>
            </w:r>
          </w:p>
        </w:tc>
      </w:tr>
      <w:tr w:rsidR="000E183C" w:rsidTr="004A6091">
        <w:tc>
          <w:tcPr>
            <w:tcW w:w="10564" w:type="dxa"/>
            <w:gridSpan w:val="3"/>
          </w:tcPr>
          <w:p w:rsidR="000E183C" w:rsidRDefault="000E183C" w:rsidP="008B40D6">
            <w:pPr>
              <w:jc w:val="both"/>
              <w:rPr>
                <w:rFonts w:ascii="Times New Roman" w:hAnsi="Times New Roman" w:cs="Times New Roman"/>
                <w:b/>
              </w:rPr>
            </w:pPr>
          </w:p>
          <w:p w:rsidR="000E183C" w:rsidRDefault="000E183C" w:rsidP="003038F3">
            <w:pPr>
              <w:jc w:val="both"/>
              <w:rPr>
                <w:rFonts w:ascii="Times New Roman" w:hAnsi="Times New Roman" w:cs="Times New Roman"/>
                <w:sz w:val="24"/>
                <w:szCs w:val="24"/>
              </w:rPr>
            </w:pPr>
            <w:r w:rsidRPr="000E183C">
              <w:rPr>
                <w:rFonts w:ascii="Times New Roman" w:hAnsi="Times New Roman" w:cs="Times New Roman"/>
                <w:sz w:val="24"/>
                <w:szCs w:val="24"/>
              </w:rPr>
              <w:t xml:space="preserve">Mai mult decat atat, fenomenul de polarizare este amplificat de o </w:t>
            </w:r>
            <w:r w:rsidRPr="000E183C">
              <w:rPr>
                <w:rFonts w:ascii="Times New Roman" w:hAnsi="Times New Roman" w:cs="Times New Roman"/>
                <w:b/>
                <w:sz w:val="24"/>
                <w:szCs w:val="24"/>
              </w:rPr>
              <w:t>majorare a calibrului financiar intre firmele mari si cele mici</w:t>
            </w:r>
            <w:r w:rsidRPr="000E183C">
              <w:rPr>
                <w:rFonts w:ascii="Times New Roman" w:hAnsi="Times New Roman" w:cs="Times New Roman"/>
                <w:sz w:val="24"/>
                <w:szCs w:val="24"/>
              </w:rPr>
              <w:t xml:space="preserve">. Firmele mici inregistreaza un nivel de indatorare mai ridicat cuplat cu o durata de colectare a creantelor mult mai extinsa si un nivel inferior al investitiilor pe termen lung (apreciat prin ponderea activelor corporale in total active). Cu alte cuvinte, datele prezentate pana in momentul de fata indica faptul ca impactul crizei financiare s-a resimtit mai mult in randul firmelor mici, care nu aveau reserve financiare pentru a difera socurile negative marcate prin scaderea veniturilor, cresterea costului de finantare sau neincasarea creantelor. </w:t>
            </w:r>
          </w:p>
          <w:p w:rsidR="003038F3" w:rsidRPr="000E183C" w:rsidRDefault="003038F3" w:rsidP="003038F3">
            <w:pPr>
              <w:jc w:val="both"/>
              <w:rPr>
                <w:rFonts w:ascii="Times New Roman" w:hAnsi="Times New Roman" w:cs="Times New Roman"/>
                <w:sz w:val="24"/>
                <w:szCs w:val="24"/>
              </w:rPr>
            </w:pPr>
          </w:p>
        </w:tc>
      </w:tr>
      <w:tr w:rsidR="00930C8D" w:rsidRPr="00131E28" w:rsidTr="004A6091">
        <w:tc>
          <w:tcPr>
            <w:tcW w:w="10564" w:type="dxa"/>
            <w:gridSpan w:val="3"/>
          </w:tcPr>
          <w:p w:rsidR="00930C8D" w:rsidRPr="007379A4" w:rsidRDefault="00930C8D" w:rsidP="008B40D6">
            <w:pPr>
              <w:rPr>
                <w:rFonts w:ascii="Times New Roman" w:hAnsi="Times New Roman" w:cs="Times New Roman"/>
                <w:b/>
                <w:color w:val="FF0000"/>
                <w:sz w:val="28"/>
                <w:szCs w:val="24"/>
              </w:rPr>
            </w:pPr>
            <w:r w:rsidRPr="007379A4">
              <w:rPr>
                <w:rFonts w:ascii="Times New Roman" w:hAnsi="Times New Roman" w:cs="Times New Roman"/>
                <w:b/>
                <w:color w:val="FF0000"/>
                <w:sz w:val="28"/>
                <w:szCs w:val="24"/>
              </w:rPr>
              <w:lastRenderedPageBreak/>
              <w:t>C. Impact</w:t>
            </w:r>
          </w:p>
          <w:p w:rsidR="00930C8D" w:rsidRDefault="00930C8D" w:rsidP="008B40D6">
            <w:pPr>
              <w:rPr>
                <w:rFonts w:ascii="Times New Roman" w:hAnsi="Times New Roman" w:cs="Times New Roman"/>
                <w:sz w:val="24"/>
                <w:szCs w:val="24"/>
              </w:rPr>
            </w:pPr>
          </w:p>
          <w:p w:rsidR="00C71C4C" w:rsidRDefault="00715E44" w:rsidP="00A83CE8">
            <w:pPr>
              <w:jc w:val="both"/>
              <w:rPr>
                <w:rFonts w:ascii="Times New Roman" w:hAnsi="Times New Roman" w:cs="Times New Roman"/>
                <w:sz w:val="24"/>
                <w:szCs w:val="24"/>
              </w:rPr>
            </w:pPr>
            <w:r>
              <w:rPr>
                <w:rFonts w:ascii="Times New Roman" w:hAnsi="Times New Roman" w:cs="Times New Roman"/>
                <w:sz w:val="24"/>
                <w:szCs w:val="24"/>
              </w:rPr>
              <w:t xml:space="preserve">La data realizarii prezentului studiu de impact (3 Iulie 2017), opinia publica nu a fost informata cu privire la criteriile (nivelul cifrei de afaceri al companiilor, numarul de angajati, durata de functionare, etc ...) in functie de care se vor aplica </w:t>
            </w:r>
            <w:r w:rsidRPr="004373A4">
              <w:rPr>
                <w:rFonts w:ascii="Times New Roman" w:hAnsi="Times New Roman" w:cs="Times New Roman"/>
                <w:sz w:val="24"/>
                <w:szCs w:val="24"/>
              </w:rPr>
              <w:t xml:space="preserve">treptele de impozitare de 1%, 2% și 3% pe </w:t>
            </w:r>
            <w:r w:rsidR="00D47801">
              <w:rPr>
                <w:rFonts w:ascii="Times New Roman" w:hAnsi="Times New Roman" w:cs="Times New Roman"/>
                <w:sz w:val="24"/>
                <w:szCs w:val="24"/>
              </w:rPr>
              <w:t>venit</w:t>
            </w:r>
            <w:r>
              <w:rPr>
                <w:rFonts w:ascii="Times New Roman" w:hAnsi="Times New Roman" w:cs="Times New Roman"/>
                <w:sz w:val="24"/>
                <w:szCs w:val="24"/>
              </w:rPr>
              <w:t xml:space="preserve">. In acest context, calculele urmatoare sunt realizate comparand legislatia </w:t>
            </w:r>
            <w:r w:rsidR="00C71C4C">
              <w:rPr>
                <w:rFonts w:ascii="Times New Roman" w:hAnsi="Times New Roman" w:cs="Times New Roman"/>
                <w:sz w:val="24"/>
                <w:szCs w:val="24"/>
              </w:rPr>
              <w:t>fiscala actuala cu noile reglementari in conditiile in care consideram succesiv cotele de 1%, 2% sau 3% pentru toate companiile. Concluziile sunt:</w:t>
            </w:r>
          </w:p>
          <w:p w:rsidR="00C71C4C" w:rsidRDefault="00C71C4C" w:rsidP="00A83CE8">
            <w:pPr>
              <w:jc w:val="both"/>
              <w:rPr>
                <w:rFonts w:ascii="Times New Roman" w:hAnsi="Times New Roman" w:cs="Times New Roman"/>
                <w:sz w:val="24"/>
                <w:szCs w:val="24"/>
              </w:rPr>
            </w:pPr>
          </w:p>
          <w:p w:rsidR="00C71C4C" w:rsidRPr="003D0545" w:rsidRDefault="00C71C4C" w:rsidP="003D0545">
            <w:pPr>
              <w:jc w:val="both"/>
              <w:rPr>
                <w:rFonts w:ascii="Times New Roman" w:hAnsi="Times New Roman" w:cs="Times New Roman"/>
                <w:sz w:val="24"/>
                <w:szCs w:val="24"/>
              </w:rPr>
            </w:pPr>
            <w:r w:rsidRPr="00B72858">
              <w:rPr>
                <w:rFonts w:ascii="Times New Roman" w:hAnsi="Times New Roman" w:cs="Times New Roman"/>
                <w:b/>
                <w:sz w:val="24"/>
                <w:szCs w:val="24"/>
              </w:rPr>
              <w:t xml:space="preserve">1. In scenariul in care toate companiile </w:t>
            </w:r>
            <w:r w:rsidR="003D0545">
              <w:rPr>
                <w:rFonts w:ascii="Times New Roman" w:hAnsi="Times New Roman" w:cs="Times New Roman"/>
                <w:b/>
                <w:sz w:val="24"/>
                <w:szCs w:val="24"/>
              </w:rPr>
              <w:t xml:space="preserve">ar plati impozit de 1% pe venit: </w:t>
            </w:r>
            <w:r w:rsidR="003D0545">
              <w:rPr>
                <w:rFonts w:ascii="Times New Roman" w:hAnsi="Times New Roman" w:cs="Times New Roman"/>
                <w:sz w:val="24"/>
                <w:szCs w:val="24"/>
              </w:rPr>
              <w:t xml:space="preserve">aproximativ 26.000 de companii ar plati un impozit mai mare, 133.000 de companii ar plati un impozit inferior, in timp ce restul companiilor ar plati acelasi impozit precum cel actual (microintreprinderi sau companii care nu inregistreaza venituri). In total, nivelul cumulat al impozitului pe venit ar fi de 11,93 mld RON, cu aproximativ 6,1% mai </w:t>
            </w:r>
            <w:r w:rsidR="00D47801">
              <w:rPr>
                <w:rFonts w:ascii="Times New Roman" w:hAnsi="Times New Roman" w:cs="Times New Roman"/>
                <w:sz w:val="24"/>
                <w:szCs w:val="24"/>
              </w:rPr>
              <w:t>mic</w:t>
            </w:r>
            <w:r w:rsidR="003D0545">
              <w:rPr>
                <w:rFonts w:ascii="Times New Roman" w:hAnsi="Times New Roman" w:cs="Times New Roman"/>
                <w:sz w:val="24"/>
                <w:szCs w:val="24"/>
              </w:rPr>
              <w:t xml:space="preserve"> decat cel actual, respectiv 12,7 mld RON</w:t>
            </w:r>
            <w:r w:rsidR="006F72E5">
              <w:rPr>
                <w:rFonts w:ascii="Times New Roman" w:hAnsi="Times New Roman" w:cs="Times New Roman"/>
                <w:sz w:val="24"/>
                <w:szCs w:val="24"/>
              </w:rPr>
              <w:t xml:space="preserve">. Rezultatele sunt sintetizate si ilustrate in tabelul urmator. </w:t>
            </w:r>
          </w:p>
          <w:p w:rsidR="003D0545" w:rsidRDefault="003D0545" w:rsidP="00715E44">
            <w:pPr>
              <w:rPr>
                <w:rFonts w:ascii="Times New Roman" w:hAnsi="Times New Roman" w:cs="Times New Roman"/>
                <w:sz w:val="24"/>
                <w:szCs w:val="24"/>
              </w:rPr>
            </w:pPr>
          </w:p>
          <w:p w:rsidR="003D0545" w:rsidRDefault="003D0545" w:rsidP="00715E44">
            <w:pPr>
              <w:rPr>
                <w:rFonts w:ascii="Times New Roman" w:hAnsi="Times New Roman" w:cs="Times New Roman"/>
                <w:sz w:val="24"/>
                <w:szCs w:val="24"/>
              </w:rPr>
            </w:pPr>
            <w:r w:rsidRPr="003D0545">
              <w:rPr>
                <w:rFonts w:ascii="Times New Roman" w:hAnsi="Times New Roman" w:cs="Times New Roman"/>
                <w:b/>
                <w:sz w:val="24"/>
                <w:szCs w:val="24"/>
              </w:rPr>
              <w:t>Tabel 8:</w:t>
            </w:r>
            <w:r>
              <w:rPr>
                <w:rFonts w:ascii="Times New Roman" w:hAnsi="Times New Roman" w:cs="Times New Roman"/>
                <w:sz w:val="24"/>
                <w:szCs w:val="24"/>
              </w:rPr>
              <w:t xml:space="preserve"> Impact scenariu impozit 1% pe venitul companiilor </w:t>
            </w:r>
          </w:p>
          <w:tbl>
            <w:tblPr>
              <w:tblW w:w="10482" w:type="dxa"/>
              <w:tblLook w:val="04A0" w:firstRow="1" w:lastRow="0" w:firstColumn="1" w:lastColumn="0" w:noHBand="0" w:noVBand="1"/>
            </w:tblPr>
            <w:tblGrid>
              <w:gridCol w:w="2075"/>
              <w:gridCol w:w="973"/>
              <w:gridCol w:w="947"/>
              <w:gridCol w:w="1137"/>
              <w:gridCol w:w="1060"/>
              <w:gridCol w:w="793"/>
              <w:gridCol w:w="1046"/>
              <w:gridCol w:w="1120"/>
              <w:gridCol w:w="1187"/>
            </w:tblGrid>
            <w:tr w:rsidR="003D0545" w:rsidRPr="003D0545" w:rsidTr="0095662A">
              <w:trPr>
                <w:trHeight w:val="288"/>
              </w:trPr>
              <w:tc>
                <w:tcPr>
                  <w:tcW w:w="2107" w:type="dxa"/>
                  <w:vMerge w:val="restart"/>
                  <w:tcBorders>
                    <w:top w:val="single" w:sz="4" w:space="0" w:color="auto"/>
                    <w:left w:val="single" w:sz="4" w:space="0" w:color="auto"/>
                    <w:bottom w:val="single" w:sz="4" w:space="0" w:color="auto"/>
                    <w:right w:val="single" w:sz="4" w:space="0" w:color="auto"/>
                  </w:tcBorders>
                  <w:shd w:val="clear" w:color="DCE6F1" w:fill="1F497D"/>
                  <w:noWrap/>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Cifra de Afaceri</w:t>
                  </w:r>
                </w:p>
              </w:tc>
              <w:tc>
                <w:tcPr>
                  <w:tcW w:w="3099" w:type="dxa"/>
                  <w:gridSpan w:val="3"/>
                  <w:tcBorders>
                    <w:top w:val="single" w:sz="4" w:space="0" w:color="auto"/>
                    <w:left w:val="nil"/>
                    <w:bottom w:val="single" w:sz="4" w:space="0" w:color="auto"/>
                    <w:right w:val="single" w:sz="4" w:space="0" w:color="auto"/>
                  </w:tcBorders>
                  <w:shd w:val="clear" w:color="000000" w:fill="1F497D"/>
                  <w:noWrap/>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Impozit 1% Numar</w:t>
                  </w:r>
                </w:p>
              </w:tc>
              <w:tc>
                <w:tcPr>
                  <w:tcW w:w="2937" w:type="dxa"/>
                  <w:gridSpan w:val="3"/>
                  <w:tcBorders>
                    <w:top w:val="single" w:sz="4" w:space="0" w:color="auto"/>
                    <w:left w:val="nil"/>
                    <w:bottom w:val="single" w:sz="4" w:space="0" w:color="auto"/>
                    <w:right w:val="single" w:sz="4" w:space="0" w:color="auto"/>
                  </w:tcBorders>
                  <w:shd w:val="clear" w:color="000000" w:fill="1F497D"/>
                  <w:noWrap/>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Impozit 1% Valoare Impozit (mil RON)</w:t>
                  </w:r>
                </w:p>
              </w:tc>
              <w:tc>
                <w:tcPr>
                  <w:tcW w:w="1135" w:type="dxa"/>
                  <w:vMerge w:val="restart"/>
                  <w:tcBorders>
                    <w:top w:val="nil"/>
                    <w:left w:val="single" w:sz="4" w:space="0" w:color="auto"/>
                    <w:bottom w:val="nil"/>
                    <w:right w:val="nil"/>
                  </w:tcBorders>
                  <w:shd w:val="clear" w:color="000000" w:fill="1F497D"/>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 xml:space="preserve">Total Impozit Nou </w:t>
                  </w:r>
                  <w:r w:rsidR="0095662A">
                    <w:rPr>
                      <w:rFonts w:ascii="Times New Roman" w:eastAsia="Times New Roman" w:hAnsi="Times New Roman" w:cs="Times New Roman"/>
                      <w:b/>
                      <w:bCs/>
                      <w:color w:val="FFFFFF"/>
                      <w:sz w:val="20"/>
                      <w:szCs w:val="20"/>
                      <w:lang w:eastAsia="ro-RO"/>
                    </w:rPr>
                    <w:t xml:space="preserve">(1%) </w:t>
                  </w:r>
                  <w:r w:rsidRPr="003D0545">
                    <w:rPr>
                      <w:rFonts w:ascii="Times New Roman" w:eastAsia="Times New Roman" w:hAnsi="Times New Roman" w:cs="Times New Roman"/>
                      <w:b/>
                      <w:bCs/>
                      <w:color w:val="FFFFFF"/>
                      <w:sz w:val="20"/>
                      <w:szCs w:val="20"/>
                      <w:lang w:eastAsia="ro-RO"/>
                    </w:rPr>
                    <w:t>Mil RON</w:t>
                  </w:r>
                </w:p>
              </w:tc>
              <w:tc>
                <w:tcPr>
                  <w:tcW w:w="1204"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Total Impozit Actual Mil RON</w:t>
                  </w:r>
                </w:p>
              </w:tc>
            </w:tr>
            <w:tr w:rsidR="003D0545" w:rsidRPr="003D0545" w:rsidTr="0095662A">
              <w:trPr>
                <w:trHeight w:val="288"/>
              </w:trPr>
              <w:tc>
                <w:tcPr>
                  <w:tcW w:w="2107" w:type="dxa"/>
                  <w:vMerge/>
                  <w:tcBorders>
                    <w:top w:val="single" w:sz="4" w:space="0" w:color="auto"/>
                    <w:left w:val="single" w:sz="4" w:space="0" w:color="auto"/>
                    <w:bottom w:val="single" w:sz="4" w:space="0" w:color="auto"/>
                    <w:right w:val="single" w:sz="4" w:space="0" w:color="auto"/>
                  </w:tcBorders>
                  <w:vAlign w:val="center"/>
                  <w:hideMark/>
                </w:tcPr>
                <w:p w:rsidR="003D0545" w:rsidRPr="003D0545" w:rsidRDefault="003D0545" w:rsidP="003D0545">
                  <w:pPr>
                    <w:spacing w:after="0" w:line="240" w:lineRule="auto"/>
                    <w:rPr>
                      <w:rFonts w:ascii="Times New Roman" w:eastAsia="Times New Roman" w:hAnsi="Times New Roman" w:cs="Times New Roman"/>
                      <w:b/>
                      <w:bCs/>
                      <w:color w:val="FFFFFF"/>
                      <w:sz w:val="20"/>
                      <w:szCs w:val="20"/>
                      <w:lang w:eastAsia="ro-RO"/>
                    </w:rPr>
                  </w:pPr>
                </w:p>
              </w:tc>
              <w:tc>
                <w:tcPr>
                  <w:tcW w:w="986" w:type="dxa"/>
                  <w:tcBorders>
                    <w:top w:val="nil"/>
                    <w:left w:val="nil"/>
                    <w:bottom w:val="single" w:sz="4" w:space="0" w:color="auto"/>
                    <w:right w:val="single" w:sz="4" w:space="0" w:color="auto"/>
                  </w:tcBorders>
                  <w:shd w:val="clear" w:color="DCE6F1" w:fill="1F497D"/>
                  <w:noWrap/>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Inferior</w:t>
                  </w:r>
                </w:p>
              </w:tc>
              <w:tc>
                <w:tcPr>
                  <w:tcW w:w="960" w:type="dxa"/>
                  <w:tcBorders>
                    <w:top w:val="nil"/>
                    <w:left w:val="nil"/>
                    <w:bottom w:val="single" w:sz="4" w:space="0" w:color="auto"/>
                    <w:right w:val="single" w:sz="4" w:space="0" w:color="auto"/>
                  </w:tcBorders>
                  <w:shd w:val="clear" w:color="DCE6F1" w:fill="1F497D"/>
                  <w:noWrap/>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Egal</w:t>
                  </w:r>
                </w:p>
              </w:tc>
              <w:tc>
                <w:tcPr>
                  <w:tcW w:w="1153" w:type="dxa"/>
                  <w:tcBorders>
                    <w:top w:val="nil"/>
                    <w:left w:val="nil"/>
                    <w:bottom w:val="single" w:sz="4" w:space="0" w:color="auto"/>
                    <w:right w:val="single" w:sz="4" w:space="0" w:color="auto"/>
                  </w:tcBorders>
                  <w:shd w:val="clear" w:color="DCE6F1" w:fill="1F497D"/>
                  <w:noWrap/>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Superior</w:t>
                  </w:r>
                </w:p>
              </w:tc>
              <w:tc>
                <w:tcPr>
                  <w:tcW w:w="1074" w:type="dxa"/>
                  <w:tcBorders>
                    <w:top w:val="nil"/>
                    <w:left w:val="nil"/>
                    <w:bottom w:val="nil"/>
                    <w:right w:val="single" w:sz="4" w:space="0" w:color="auto"/>
                  </w:tcBorders>
                  <w:shd w:val="clear" w:color="DCE6F1" w:fill="1F497D"/>
                  <w:noWrap/>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Inferior</w:t>
                  </w:r>
                </w:p>
              </w:tc>
              <w:tc>
                <w:tcPr>
                  <w:tcW w:w="803" w:type="dxa"/>
                  <w:tcBorders>
                    <w:top w:val="nil"/>
                    <w:left w:val="nil"/>
                    <w:bottom w:val="nil"/>
                    <w:right w:val="single" w:sz="4" w:space="0" w:color="auto"/>
                  </w:tcBorders>
                  <w:shd w:val="clear" w:color="DCE6F1" w:fill="1F497D"/>
                  <w:noWrap/>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Egal</w:t>
                  </w:r>
                </w:p>
              </w:tc>
              <w:tc>
                <w:tcPr>
                  <w:tcW w:w="1060" w:type="dxa"/>
                  <w:tcBorders>
                    <w:top w:val="nil"/>
                    <w:left w:val="nil"/>
                    <w:bottom w:val="nil"/>
                    <w:right w:val="single" w:sz="4" w:space="0" w:color="auto"/>
                  </w:tcBorders>
                  <w:shd w:val="clear" w:color="DCE6F1" w:fill="1F497D"/>
                  <w:noWrap/>
                  <w:vAlign w:val="center"/>
                  <w:hideMark/>
                </w:tcPr>
                <w:p w:rsidR="003D0545" w:rsidRPr="003D0545" w:rsidRDefault="003D0545" w:rsidP="0095662A">
                  <w:pPr>
                    <w:spacing w:after="0" w:line="240" w:lineRule="auto"/>
                    <w:jc w:val="center"/>
                    <w:rPr>
                      <w:rFonts w:ascii="Times New Roman" w:eastAsia="Times New Roman" w:hAnsi="Times New Roman" w:cs="Times New Roman"/>
                      <w:b/>
                      <w:bCs/>
                      <w:color w:val="FFFFFF"/>
                      <w:sz w:val="20"/>
                      <w:szCs w:val="20"/>
                      <w:lang w:eastAsia="ro-RO"/>
                    </w:rPr>
                  </w:pPr>
                  <w:r w:rsidRPr="003D0545">
                    <w:rPr>
                      <w:rFonts w:ascii="Times New Roman" w:eastAsia="Times New Roman" w:hAnsi="Times New Roman" w:cs="Times New Roman"/>
                      <w:b/>
                      <w:bCs/>
                      <w:color w:val="FFFFFF"/>
                      <w:sz w:val="20"/>
                      <w:szCs w:val="20"/>
                      <w:lang w:eastAsia="ro-RO"/>
                    </w:rPr>
                    <w:t>Superior</w:t>
                  </w:r>
                </w:p>
              </w:tc>
              <w:tc>
                <w:tcPr>
                  <w:tcW w:w="1135" w:type="dxa"/>
                  <w:vMerge/>
                  <w:tcBorders>
                    <w:top w:val="nil"/>
                    <w:left w:val="single" w:sz="4" w:space="0" w:color="auto"/>
                    <w:bottom w:val="nil"/>
                    <w:right w:val="nil"/>
                  </w:tcBorders>
                  <w:vAlign w:val="center"/>
                  <w:hideMark/>
                </w:tcPr>
                <w:p w:rsidR="003D0545" w:rsidRPr="003D0545" w:rsidRDefault="003D0545" w:rsidP="003D0545">
                  <w:pPr>
                    <w:spacing w:after="0" w:line="240" w:lineRule="auto"/>
                    <w:rPr>
                      <w:rFonts w:ascii="Times New Roman" w:eastAsia="Times New Roman" w:hAnsi="Times New Roman" w:cs="Times New Roman"/>
                      <w:b/>
                      <w:bCs/>
                      <w:color w:val="FFFFFF"/>
                      <w:sz w:val="20"/>
                      <w:szCs w:val="20"/>
                      <w:lang w:eastAsia="ro-RO"/>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3D0545" w:rsidRPr="003D0545" w:rsidRDefault="003D0545" w:rsidP="003D0545">
                  <w:pPr>
                    <w:spacing w:after="0" w:line="240" w:lineRule="auto"/>
                    <w:rPr>
                      <w:rFonts w:ascii="Times New Roman" w:eastAsia="Times New Roman" w:hAnsi="Times New Roman" w:cs="Times New Roman"/>
                      <w:b/>
                      <w:bCs/>
                      <w:color w:val="FFFFFF"/>
                      <w:sz w:val="20"/>
                      <w:szCs w:val="20"/>
                      <w:lang w:eastAsia="ro-RO"/>
                    </w:rPr>
                  </w:pPr>
                </w:p>
              </w:tc>
            </w:tr>
            <w:tr w:rsidR="003D0545" w:rsidRPr="003D0545" w:rsidTr="003D0545">
              <w:trPr>
                <w:trHeight w:val="288"/>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Fara Activitate</w:t>
                  </w:r>
                </w:p>
              </w:tc>
              <w:tc>
                <w:tcPr>
                  <w:tcW w:w="986"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9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179.484</w:t>
                  </w:r>
                </w:p>
              </w:tc>
              <w:tc>
                <w:tcPr>
                  <w:tcW w:w="115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20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r>
            <w:tr w:rsidR="003D0545" w:rsidRPr="003D0545" w:rsidTr="003D0545">
              <w:trPr>
                <w:trHeight w:val="288"/>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0 - 500 K EUR</w:t>
                  </w:r>
                </w:p>
              </w:tc>
              <w:tc>
                <w:tcPr>
                  <w:tcW w:w="986"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113.913</w:t>
                  </w:r>
                </w:p>
              </w:tc>
              <w:tc>
                <w:tcPr>
                  <w:tcW w:w="9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313.176</w:t>
                  </w:r>
                </w:p>
              </w:tc>
              <w:tc>
                <w:tcPr>
                  <w:tcW w:w="115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07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130</w:t>
                  </w:r>
                </w:p>
              </w:tc>
              <w:tc>
                <w:tcPr>
                  <w:tcW w:w="80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1.120</w:t>
                  </w:r>
                </w:p>
              </w:tc>
              <w:tc>
                <w:tcPr>
                  <w:tcW w:w="10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w:t>
                  </w:r>
                </w:p>
              </w:tc>
              <w:tc>
                <w:tcPr>
                  <w:tcW w:w="1135"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1.250</w:t>
                  </w:r>
                </w:p>
              </w:tc>
              <w:tc>
                <w:tcPr>
                  <w:tcW w:w="120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1.511</w:t>
                  </w:r>
                </w:p>
              </w:tc>
            </w:tr>
            <w:tr w:rsidR="003D0545" w:rsidRPr="003D0545" w:rsidTr="003D0545">
              <w:trPr>
                <w:trHeight w:val="288"/>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500 - 1000 K EUR</w:t>
                  </w:r>
                </w:p>
              </w:tc>
              <w:tc>
                <w:tcPr>
                  <w:tcW w:w="986"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8.601</w:t>
                  </w:r>
                </w:p>
              </w:tc>
              <w:tc>
                <w:tcPr>
                  <w:tcW w:w="9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15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10.571</w:t>
                  </w:r>
                </w:p>
              </w:tc>
              <w:tc>
                <w:tcPr>
                  <w:tcW w:w="107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268</w:t>
                  </w:r>
                </w:p>
              </w:tc>
              <w:tc>
                <w:tcPr>
                  <w:tcW w:w="80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w:t>
                  </w:r>
                </w:p>
              </w:tc>
              <w:tc>
                <w:tcPr>
                  <w:tcW w:w="10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331</w:t>
                  </w:r>
                </w:p>
              </w:tc>
              <w:tc>
                <w:tcPr>
                  <w:tcW w:w="1135"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599</w:t>
                  </w:r>
                </w:p>
              </w:tc>
              <w:tc>
                <w:tcPr>
                  <w:tcW w:w="120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929</w:t>
                  </w:r>
                </w:p>
              </w:tc>
            </w:tr>
            <w:tr w:rsidR="003D0545" w:rsidRPr="003D0545" w:rsidTr="003D0545">
              <w:trPr>
                <w:trHeight w:val="288"/>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1 - 5 MIL EUR</w:t>
                  </w:r>
                </w:p>
              </w:tc>
              <w:tc>
                <w:tcPr>
                  <w:tcW w:w="986"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8.226</w:t>
                  </w:r>
                </w:p>
              </w:tc>
              <w:tc>
                <w:tcPr>
                  <w:tcW w:w="9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15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11.338</w:t>
                  </w:r>
                </w:p>
              </w:tc>
              <w:tc>
                <w:tcPr>
                  <w:tcW w:w="107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756</w:t>
                  </w:r>
                </w:p>
              </w:tc>
              <w:tc>
                <w:tcPr>
                  <w:tcW w:w="80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w:t>
                  </w:r>
                </w:p>
              </w:tc>
              <w:tc>
                <w:tcPr>
                  <w:tcW w:w="10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1.073</w:t>
                  </w:r>
                </w:p>
              </w:tc>
              <w:tc>
                <w:tcPr>
                  <w:tcW w:w="1135"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1.829</w:t>
                  </w:r>
                </w:p>
              </w:tc>
              <w:tc>
                <w:tcPr>
                  <w:tcW w:w="120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2.511</w:t>
                  </w:r>
                </w:p>
              </w:tc>
            </w:tr>
            <w:tr w:rsidR="003D0545" w:rsidRPr="003D0545" w:rsidTr="003D0545">
              <w:trPr>
                <w:trHeight w:val="288"/>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5 - 10 MIL EUR</w:t>
                  </w:r>
                </w:p>
              </w:tc>
              <w:tc>
                <w:tcPr>
                  <w:tcW w:w="986"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1.153</w:t>
                  </w:r>
                </w:p>
              </w:tc>
              <w:tc>
                <w:tcPr>
                  <w:tcW w:w="9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15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1.904</w:t>
                  </w:r>
                </w:p>
              </w:tc>
              <w:tc>
                <w:tcPr>
                  <w:tcW w:w="107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357</w:t>
                  </w:r>
                </w:p>
              </w:tc>
              <w:tc>
                <w:tcPr>
                  <w:tcW w:w="80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w:t>
                  </w:r>
                </w:p>
              </w:tc>
              <w:tc>
                <w:tcPr>
                  <w:tcW w:w="10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590</w:t>
                  </w:r>
                </w:p>
              </w:tc>
              <w:tc>
                <w:tcPr>
                  <w:tcW w:w="1135"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947</w:t>
                  </w:r>
                </w:p>
              </w:tc>
              <w:tc>
                <w:tcPr>
                  <w:tcW w:w="120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1.088</w:t>
                  </w:r>
                </w:p>
              </w:tc>
            </w:tr>
            <w:tr w:rsidR="003D0545" w:rsidRPr="003D0545" w:rsidTr="003D0545">
              <w:trPr>
                <w:trHeight w:val="288"/>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10 - 50 MIL EUR</w:t>
                  </w:r>
                </w:p>
              </w:tc>
              <w:tc>
                <w:tcPr>
                  <w:tcW w:w="986"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859</w:t>
                  </w:r>
                </w:p>
              </w:tc>
              <w:tc>
                <w:tcPr>
                  <w:tcW w:w="9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15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1.724</w:t>
                  </w:r>
                </w:p>
              </w:tc>
              <w:tc>
                <w:tcPr>
                  <w:tcW w:w="107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757</w:t>
                  </w:r>
                </w:p>
              </w:tc>
              <w:tc>
                <w:tcPr>
                  <w:tcW w:w="80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w:t>
                  </w:r>
                </w:p>
              </w:tc>
              <w:tc>
                <w:tcPr>
                  <w:tcW w:w="10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1.556</w:t>
                  </w:r>
                </w:p>
              </w:tc>
              <w:tc>
                <w:tcPr>
                  <w:tcW w:w="1135"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2.314</w:t>
                  </w:r>
                </w:p>
              </w:tc>
              <w:tc>
                <w:tcPr>
                  <w:tcW w:w="120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2.236</w:t>
                  </w:r>
                </w:p>
              </w:tc>
            </w:tr>
            <w:tr w:rsidR="003D0545" w:rsidRPr="003D0545" w:rsidTr="003D0545">
              <w:trPr>
                <w:trHeight w:val="288"/>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50 - 100 MIL EUR</w:t>
                  </w:r>
                </w:p>
              </w:tc>
              <w:tc>
                <w:tcPr>
                  <w:tcW w:w="986"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88</w:t>
                  </w:r>
                </w:p>
              </w:tc>
              <w:tc>
                <w:tcPr>
                  <w:tcW w:w="9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15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200</w:t>
                  </w:r>
                </w:p>
              </w:tc>
              <w:tc>
                <w:tcPr>
                  <w:tcW w:w="107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268</w:t>
                  </w:r>
                </w:p>
              </w:tc>
              <w:tc>
                <w:tcPr>
                  <w:tcW w:w="80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w:t>
                  </w:r>
                </w:p>
              </w:tc>
              <w:tc>
                <w:tcPr>
                  <w:tcW w:w="10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611</w:t>
                  </w:r>
                </w:p>
              </w:tc>
              <w:tc>
                <w:tcPr>
                  <w:tcW w:w="1135"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879</w:t>
                  </w:r>
                </w:p>
              </w:tc>
              <w:tc>
                <w:tcPr>
                  <w:tcW w:w="120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829</w:t>
                  </w:r>
                </w:p>
              </w:tc>
            </w:tr>
            <w:tr w:rsidR="003D0545" w:rsidRPr="003D0545" w:rsidTr="003D0545">
              <w:trPr>
                <w:trHeight w:val="288"/>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Peste 100 MIL EUR</w:t>
                  </w:r>
                </w:p>
              </w:tc>
              <w:tc>
                <w:tcPr>
                  <w:tcW w:w="986"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67</w:t>
                  </w:r>
                </w:p>
              </w:tc>
              <w:tc>
                <w:tcPr>
                  <w:tcW w:w="9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p>
              </w:tc>
              <w:tc>
                <w:tcPr>
                  <w:tcW w:w="115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195</w:t>
                  </w:r>
                </w:p>
              </w:tc>
              <w:tc>
                <w:tcPr>
                  <w:tcW w:w="107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993</w:t>
                  </w:r>
                </w:p>
              </w:tc>
              <w:tc>
                <w:tcPr>
                  <w:tcW w:w="80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w:t>
                  </w:r>
                </w:p>
              </w:tc>
              <w:tc>
                <w:tcPr>
                  <w:tcW w:w="10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3.128</w:t>
                  </w:r>
                </w:p>
              </w:tc>
              <w:tc>
                <w:tcPr>
                  <w:tcW w:w="1135"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4.121</w:t>
                  </w:r>
                </w:p>
              </w:tc>
              <w:tc>
                <w:tcPr>
                  <w:tcW w:w="120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color w:val="000000"/>
                      <w:sz w:val="20"/>
                      <w:szCs w:val="20"/>
                      <w:lang w:eastAsia="ro-RO"/>
                    </w:rPr>
                  </w:pPr>
                  <w:r w:rsidRPr="003D0545">
                    <w:rPr>
                      <w:rFonts w:ascii="Times New Roman" w:eastAsia="Times New Roman" w:hAnsi="Times New Roman" w:cs="Times New Roman"/>
                      <w:color w:val="000000"/>
                      <w:sz w:val="20"/>
                      <w:szCs w:val="20"/>
                      <w:lang w:eastAsia="ro-RO"/>
                    </w:rPr>
                    <w:t>3.610</w:t>
                  </w:r>
                </w:p>
              </w:tc>
            </w:tr>
            <w:tr w:rsidR="003D0545" w:rsidRPr="003D0545" w:rsidTr="003D0545">
              <w:trPr>
                <w:trHeight w:val="288"/>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rPr>
                      <w:rFonts w:ascii="Times New Roman" w:eastAsia="Times New Roman" w:hAnsi="Times New Roman" w:cs="Times New Roman"/>
                      <w:b/>
                      <w:bCs/>
                      <w:color w:val="000000"/>
                      <w:sz w:val="20"/>
                      <w:szCs w:val="20"/>
                      <w:lang w:eastAsia="ro-RO"/>
                    </w:rPr>
                  </w:pPr>
                  <w:r w:rsidRPr="003D0545">
                    <w:rPr>
                      <w:rFonts w:ascii="Times New Roman" w:eastAsia="Times New Roman" w:hAnsi="Times New Roman" w:cs="Times New Roman"/>
                      <w:b/>
                      <w:bCs/>
                      <w:color w:val="000000"/>
                      <w:sz w:val="20"/>
                      <w:szCs w:val="20"/>
                      <w:lang w:eastAsia="ro-RO"/>
                    </w:rPr>
                    <w:t>Total</w:t>
                  </w:r>
                </w:p>
              </w:tc>
              <w:tc>
                <w:tcPr>
                  <w:tcW w:w="986"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b/>
                      <w:bCs/>
                      <w:color w:val="000000"/>
                      <w:sz w:val="20"/>
                      <w:szCs w:val="20"/>
                      <w:lang w:eastAsia="ro-RO"/>
                    </w:rPr>
                  </w:pPr>
                  <w:r w:rsidRPr="003D0545">
                    <w:rPr>
                      <w:rFonts w:ascii="Times New Roman" w:eastAsia="Times New Roman" w:hAnsi="Times New Roman" w:cs="Times New Roman"/>
                      <w:b/>
                      <w:bCs/>
                      <w:color w:val="000000"/>
                      <w:sz w:val="20"/>
                      <w:szCs w:val="20"/>
                      <w:lang w:eastAsia="ro-RO"/>
                    </w:rPr>
                    <w:t>132.907</w:t>
                  </w:r>
                </w:p>
              </w:tc>
              <w:tc>
                <w:tcPr>
                  <w:tcW w:w="9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b/>
                      <w:bCs/>
                      <w:color w:val="000000"/>
                      <w:sz w:val="20"/>
                      <w:szCs w:val="20"/>
                      <w:lang w:eastAsia="ro-RO"/>
                    </w:rPr>
                  </w:pPr>
                  <w:r>
                    <w:rPr>
                      <w:rFonts w:ascii="Times New Roman" w:eastAsia="Times New Roman" w:hAnsi="Times New Roman" w:cs="Times New Roman"/>
                      <w:b/>
                      <w:bCs/>
                      <w:color w:val="000000"/>
                      <w:sz w:val="20"/>
                      <w:szCs w:val="20"/>
                      <w:lang w:eastAsia="ro-RO"/>
                    </w:rPr>
                    <w:t>492.660</w:t>
                  </w:r>
                </w:p>
              </w:tc>
              <w:tc>
                <w:tcPr>
                  <w:tcW w:w="115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b/>
                      <w:bCs/>
                      <w:color w:val="000000"/>
                      <w:sz w:val="20"/>
                      <w:szCs w:val="20"/>
                      <w:lang w:eastAsia="ro-RO"/>
                    </w:rPr>
                  </w:pPr>
                  <w:r w:rsidRPr="003D0545">
                    <w:rPr>
                      <w:rFonts w:ascii="Times New Roman" w:eastAsia="Times New Roman" w:hAnsi="Times New Roman" w:cs="Times New Roman"/>
                      <w:b/>
                      <w:bCs/>
                      <w:color w:val="000000"/>
                      <w:sz w:val="20"/>
                      <w:szCs w:val="20"/>
                      <w:lang w:eastAsia="ro-RO"/>
                    </w:rPr>
                    <w:t>25.932</w:t>
                  </w:r>
                </w:p>
              </w:tc>
              <w:tc>
                <w:tcPr>
                  <w:tcW w:w="107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b/>
                      <w:bCs/>
                      <w:color w:val="000000"/>
                      <w:sz w:val="20"/>
                      <w:szCs w:val="20"/>
                      <w:lang w:eastAsia="ro-RO"/>
                    </w:rPr>
                  </w:pPr>
                  <w:r w:rsidRPr="003D0545">
                    <w:rPr>
                      <w:rFonts w:ascii="Times New Roman" w:eastAsia="Times New Roman" w:hAnsi="Times New Roman" w:cs="Times New Roman"/>
                      <w:b/>
                      <w:bCs/>
                      <w:color w:val="000000"/>
                      <w:sz w:val="20"/>
                      <w:szCs w:val="20"/>
                      <w:lang w:eastAsia="ro-RO"/>
                    </w:rPr>
                    <w:t>3.530</w:t>
                  </w:r>
                </w:p>
              </w:tc>
              <w:tc>
                <w:tcPr>
                  <w:tcW w:w="803"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b/>
                      <w:bCs/>
                      <w:color w:val="000000"/>
                      <w:sz w:val="20"/>
                      <w:szCs w:val="20"/>
                      <w:lang w:eastAsia="ro-RO"/>
                    </w:rPr>
                  </w:pPr>
                  <w:r w:rsidRPr="003D0545">
                    <w:rPr>
                      <w:rFonts w:ascii="Times New Roman" w:eastAsia="Times New Roman" w:hAnsi="Times New Roman" w:cs="Times New Roman"/>
                      <w:b/>
                      <w:bCs/>
                      <w:color w:val="000000"/>
                      <w:sz w:val="20"/>
                      <w:szCs w:val="20"/>
                      <w:lang w:eastAsia="ro-RO"/>
                    </w:rPr>
                    <w:t>1.120</w:t>
                  </w:r>
                </w:p>
              </w:tc>
              <w:tc>
                <w:tcPr>
                  <w:tcW w:w="1060"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b/>
                      <w:bCs/>
                      <w:color w:val="000000"/>
                      <w:sz w:val="20"/>
                      <w:szCs w:val="20"/>
                      <w:lang w:eastAsia="ro-RO"/>
                    </w:rPr>
                  </w:pPr>
                  <w:r w:rsidRPr="003D0545">
                    <w:rPr>
                      <w:rFonts w:ascii="Times New Roman" w:eastAsia="Times New Roman" w:hAnsi="Times New Roman" w:cs="Times New Roman"/>
                      <w:b/>
                      <w:bCs/>
                      <w:color w:val="000000"/>
                      <w:sz w:val="20"/>
                      <w:szCs w:val="20"/>
                      <w:lang w:eastAsia="ro-RO"/>
                    </w:rPr>
                    <w:t>7.289</w:t>
                  </w:r>
                </w:p>
              </w:tc>
              <w:tc>
                <w:tcPr>
                  <w:tcW w:w="1135"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b/>
                      <w:bCs/>
                      <w:color w:val="000000"/>
                      <w:sz w:val="20"/>
                      <w:szCs w:val="20"/>
                      <w:lang w:eastAsia="ro-RO"/>
                    </w:rPr>
                  </w:pPr>
                  <w:r w:rsidRPr="003D0545">
                    <w:rPr>
                      <w:rFonts w:ascii="Times New Roman" w:eastAsia="Times New Roman" w:hAnsi="Times New Roman" w:cs="Times New Roman"/>
                      <w:b/>
                      <w:bCs/>
                      <w:color w:val="000000"/>
                      <w:sz w:val="20"/>
                      <w:szCs w:val="20"/>
                      <w:lang w:eastAsia="ro-RO"/>
                    </w:rPr>
                    <w:t>11.939</w:t>
                  </w:r>
                </w:p>
              </w:tc>
              <w:tc>
                <w:tcPr>
                  <w:tcW w:w="1204" w:type="dxa"/>
                  <w:tcBorders>
                    <w:top w:val="nil"/>
                    <w:left w:val="nil"/>
                    <w:bottom w:val="single" w:sz="4" w:space="0" w:color="auto"/>
                    <w:right w:val="single" w:sz="4" w:space="0" w:color="auto"/>
                  </w:tcBorders>
                  <w:shd w:val="clear" w:color="auto" w:fill="auto"/>
                  <w:noWrap/>
                  <w:vAlign w:val="bottom"/>
                  <w:hideMark/>
                </w:tcPr>
                <w:p w:rsidR="003D0545" w:rsidRPr="003D0545" w:rsidRDefault="003D0545" w:rsidP="003D0545">
                  <w:pPr>
                    <w:spacing w:after="0" w:line="240" w:lineRule="auto"/>
                    <w:jc w:val="center"/>
                    <w:rPr>
                      <w:rFonts w:ascii="Times New Roman" w:eastAsia="Times New Roman" w:hAnsi="Times New Roman" w:cs="Times New Roman"/>
                      <w:b/>
                      <w:bCs/>
                      <w:color w:val="000000"/>
                      <w:sz w:val="20"/>
                      <w:szCs w:val="20"/>
                      <w:lang w:eastAsia="ro-RO"/>
                    </w:rPr>
                  </w:pPr>
                  <w:r w:rsidRPr="003D0545">
                    <w:rPr>
                      <w:rFonts w:ascii="Times New Roman" w:eastAsia="Times New Roman" w:hAnsi="Times New Roman" w:cs="Times New Roman"/>
                      <w:b/>
                      <w:bCs/>
                      <w:color w:val="000000"/>
                      <w:sz w:val="20"/>
                      <w:szCs w:val="20"/>
                      <w:lang w:eastAsia="ro-RO"/>
                    </w:rPr>
                    <w:t>12.714</w:t>
                  </w:r>
                </w:p>
              </w:tc>
            </w:tr>
          </w:tbl>
          <w:p w:rsidR="003D0545" w:rsidRPr="003D0545" w:rsidRDefault="003D0545" w:rsidP="00715E44">
            <w:pPr>
              <w:rPr>
                <w:rFonts w:ascii="Times New Roman" w:hAnsi="Times New Roman" w:cs="Times New Roman"/>
                <w:i/>
                <w:sz w:val="24"/>
                <w:szCs w:val="24"/>
              </w:rPr>
            </w:pPr>
            <w:r w:rsidRPr="003D0545">
              <w:rPr>
                <w:rFonts w:ascii="Times New Roman" w:hAnsi="Times New Roman" w:cs="Times New Roman"/>
                <w:i/>
                <w:sz w:val="24"/>
                <w:szCs w:val="24"/>
              </w:rPr>
              <w:t>Sursa: MFP, date prelucrate autor</w:t>
            </w:r>
          </w:p>
          <w:p w:rsidR="00C71C4C" w:rsidRPr="003D0545" w:rsidRDefault="00C71C4C" w:rsidP="00715E44">
            <w:pPr>
              <w:rPr>
                <w:rFonts w:ascii="Times New Roman" w:hAnsi="Times New Roman" w:cs="Times New Roman"/>
                <w:i/>
                <w:sz w:val="24"/>
                <w:szCs w:val="24"/>
              </w:rPr>
            </w:pPr>
          </w:p>
          <w:p w:rsidR="00C71C4C" w:rsidRDefault="00C71C4C" w:rsidP="006F72E5">
            <w:pPr>
              <w:jc w:val="both"/>
              <w:rPr>
                <w:rFonts w:ascii="Times New Roman" w:hAnsi="Times New Roman" w:cs="Times New Roman"/>
                <w:sz w:val="24"/>
                <w:szCs w:val="24"/>
              </w:rPr>
            </w:pPr>
            <w:r w:rsidRPr="00B72858">
              <w:rPr>
                <w:rFonts w:ascii="Times New Roman" w:hAnsi="Times New Roman" w:cs="Times New Roman"/>
                <w:b/>
                <w:sz w:val="24"/>
                <w:szCs w:val="24"/>
              </w:rPr>
              <w:t xml:space="preserve">2. In scenariul in care toate </w:t>
            </w:r>
            <w:r w:rsidR="00B72858">
              <w:rPr>
                <w:rFonts w:ascii="Times New Roman" w:hAnsi="Times New Roman" w:cs="Times New Roman"/>
                <w:b/>
                <w:sz w:val="24"/>
                <w:szCs w:val="24"/>
              </w:rPr>
              <w:t>companiile ar plati impozit de 2</w:t>
            </w:r>
            <w:r w:rsidR="003D0545">
              <w:rPr>
                <w:rFonts w:ascii="Times New Roman" w:hAnsi="Times New Roman" w:cs="Times New Roman"/>
                <w:b/>
                <w:sz w:val="24"/>
                <w:szCs w:val="24"/>
              </w:rPr>
              <w:t xml:space="preserve">% pe venit: </w:t>
            </w:r>
            <w:r w:rsidR="006F72E5">
              <w:rPr>
                <w:rFonts w:ascii="Times New Roman" w:hAnsi="Times New Roman" w:cs="Times New Roman"/>
                <w:sz w:val="24"/>
                <w:szCs w:val="24"/>
              </w:rPr>
              <w:t xml:space="preserve">aproximativ </w:t>
            </w:r>
            <w:r w:rsidR="00C47049">
              <w:rPr>
                <w:rFonts w:ascii="Times New Roman" w:hAnsi="Times New Roman" w:cs="Times New Roman"/>
                <w:sz w:val="24"/>
                <w:szCs w:val="24"/>
              </w:rPr>
              <w:t>347.000</w:t>
            </w:r>
            <w:r w:rsidR="006F72E5">
              <w:rPr>
                <w:rFonts w:ascii="Times New Roman" w:hAnsi="Times New Roman" w:cs="Times New Roman"/>
                <w:sz w:val="24"/>
                <w:szCs w:val="24"/>
              </w:rPr>
              <w:t xml:space="preserve"> de companii ar plati un impozit mai mare</w:t>
            </w:r>
            <w:r w:rsidR="00426194">
              <w:rPr>
                <w:rFonts w:ascii="Times New Roman" w:hAnsi="Times New Roman" w:cs="Times New Roman"/>
                <w:sz w:val="24"/>
                <w:szCs w:val="24"/>
              </w:rPr>
              <w:t>, deci jumatate din companii</w:t>
            </w:r>
            <w:r w:rsidR="00C47049">
              <w:rPr>
                <w:rFonts w:ascii="Times New Roman" w:hAnsi="Times New Roman" w:cs="Times New Roman"/>
                <w:sz w:val="24"/>
                <w:szCs w:val="24"/>
              </w:rPr>
              <w:t xml:space="preserve"> (fata de scenariul anterior, se includ aici microintreprinderile care platesc 1% in momentul de fata)</w:t>
            </w:r>
            <w:r w:rsidR="006F72E5">
              <w:rPr>
                <w:rFonts w:ascii="Times New Roman" w:hAnsi="Times New Roman" w:cs="Times New Roman"/>
                <w:sz w:val="24"/>
                <w:szCs w:val="24"/>
              </w:rPr>
              <w:t xml:space="preserve">, </w:t>
            </w:r>
            <w:r w:rsidR="00C47049">
              <w:rPr>
                <w:rFonts w:ascii="Times New Roman" w:hAnsi="Times New Roman" w:cs="Times New Roman"/>
                <w:sz w:val="24"/>
                <w:szCs w:val="24"/>
              </w:rPr>
              <w:t>124</w:t>
            </w:r>
            <w:r w:rsidR="006F72E5">
              <w:rPr>
                <w:rFonts w:ascii="Times New Roman" w:hAnsi="Times New Roman" w:cs="Times New Roman"/>
                <w:sz w:val="24"/>
                <w:szCs w:val="24"/>
              </w:rPr>
              <w:t xml:space="preserve">.000 de companii ar plati un impozit inferior, in timp ce restul companiilor ar plati acelasi impozit precum cel actual (companii care nu inregistreaza venituri). In total, nivelul cumulat al impozitului pe venit ar fi de </w:t>
            </w:r>
            <w:r w:rsidR="0095662A">
              <w:rPr>
                <w:rFonts w:ascii="Times New Roman" w:hAnsi="Times New Roman" w:cs="Times New Roman"/>
                <w:sz w:val="24"/>
                <w:szCs w:val="24"/>
              </w:rPr>
              <w:t>23,88</w:t>
            </w:r>
            <w:r w:rsidR="006F72E5">
              <w:rPr>
                <w:rFonts w:ascii="Times New Roman" w:hAnsi="Times New Roman" w:cs="Times New Roman"/>
                <w:sz w:val="24"/>
                <w:szCs w:val="24"/>
              </w:rPr>
              <w:t xml:space="preserve"> mld RON, cu aproximativ </w:t>
            </w:r>
            <w:r w:rsidR="0095662A">
              <w:rPr>
                <w:rFonts w:ascii="Times New Roman" w:hAnsi="Times New Roman" w:cs="Times New Roman"/>
                <w:sz w:val="24"/>
                <w:szCs w:val="24"/>
              </w:rPr>
              <w:t>88</w:t>
            </w:r>
            <w:r w:rsidR="006F72E5">
              <w:rPr>
                <w:rFonts w:ascii="Times New Roman" w:hAnsi="Times New Roman" w:cs="Times New Roman"/>
                <w:sz w:val="24"/>
                <w:szCs w:val="24"/>
              </w:rPr>
              <w:t xml:space="preserve">% mai </w:t>
            </w:r>
            <w:r w:rsidR="0095662A">
              <w:rPr>
                <w:rFonts w:ascii="Times New Roman" w:hAnsi="Times New Roman" w:cs="Times New Roman"/>
                <w:sz w:val="24"/>
                <w:szCs w:val="24"/>
              </w:rPr>
              <w:t>mult</w:t>
            </w:r>
            <w:r w:rsidR="006F72E5">
              <w:rPr>
                <w:rFonts w:ascii="Times New Roman" w:hAnsi="Times New Roman" w:cs="Times New Roman"/>
                <w:sz w:val="24"/>
                <w:szCs w:val="24"/>
              </w:rPr>
              <w:t xml:space="preserve"> decat cel actual, respectiv 12,7 mld RON. Rezultatele sunt sintetizate si ilustrate in tabelul urmator.</w:t>
            </w:r>
          </w:p>
          <w:p w:rsidR="00E94B90" w:rsidRDefault="00E94B90" w:rsidP="006F72E5">
            <w:pPr>
              <w:jc w:val="both"/>
              <w:rPr>
                <w:rFonts w:ascii="Times New Roman" w:hAnsi="Times New Roman" w:cs="Times New Roman"/>
                <w:sz w:val="24"/>
                <w:szCs w:val="24"/>
              </w:rPr>
            </w:pPr>
          </w:p>
          <w:p w:rsidR="00E94B90" w:rsidRDefault="00E94B90" w:rsidP="00C71C4C">
            <w:pPr>
              <w:rPr>
                <w:rFonts w:ascii="Times New Roman" w:hAnsi="Times New Roman" w:cs="Times New Roman"/>
                <w:sz w:val="24"/>
                <w:szCs w:val="24"/>
              </w:rPr>
            </w:pPr>
            <w:r w:rsidRPr="001F1875">
              <w:rPr>
                <w:rFonts w:ascii="Times New Roman" w:hAnsi="Times New Roman" w:cs="Times New Roman"/>
                <w:b/>
                <w:sz w:val="24"/>
                <w:szCs w:val="24"/>
              </w:rPr>
              <w:t>Tabel 9:</w:t>
            </w:r>
            <w:r>
              <w:rPr>
                <w:rFonts w:ascii="Times New Roman" w:hAnsi="Times New Roman" w:cs="Times New Roman"/>
                <w:sz w:val="24"/>
                <w:szCs w:val="24"/>
              </w:rPr>
              <w:t xml:space="preserve"> Impact scenariu impozit 2% pe venitul companiilor</w:t>
            </w:r>
          </w:p>
          <w:tbl>
            <w:tblPr>
              <w:tblW w:w="10487" w:type="dxa"/>
              <w:tblLook w:val="04A0" w:firstRow="1" w:lastRow="0" w:firstColumn="1" w:lastColumn="0" w:noHBand="0" w:noVBand="1"/>
            </w:tblPr>
            <w:tblGrid>
              <w:gridCol w:w="2012"/>
              <w:gridCol w:w="1003"/>
              <w:gridCol w:w="919"/>
              <w:gridCol w:w="1090"/>
              <w:gridCol w:w="1032"/>
              <w:gridCol w:w="664"/>
              <w:gridCol w:w="998"/>
              <w:gridCol w:w="1321"/>
              <w:gridCol w:w="1299"/>
            </w:tblGrid>
            <w:tr w:rsidR="00C47049" w:rsidRPr="00C47049" w:rsidTr="0095662A">
              <w:trPr>
                <w:trHeight w:val="288"/>
              </w:trPr>
              <w:tc>
                <w:tcPr>
                  <w:tcW w:w="2044" w:type="dxa"/>
                  <w:vMerge w:val="restart"/>
                  <w:tcBorders>
                    <w:top w:val="single" w:sz="4" w:space="0" w:color="auto"/>
                    <w:left w:val="single" w:sz="4" w:space="0" w:color="auto"/>
                    <w:bottom w:val="single" w:sz="4" w:space="0" w:color="auto"/>
                    <w:right w:val="single" w:sz="4" w:space="0" w:color="auto"/>
                  </w:tcBorders>
                  <w:shd w:val="clear" w:color="DCE6F1" w:fill="1F497D"/>
                  <w:noWrap/>
                  <w:vAlign w:val="center"/>
                  <w:hideMark/>
                </w:tcPr>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Cifra de Afaceri</w:t>
                  </w:r>
                </w:p>
              </w:tc>
              <w:tc>
                <w:tcPr>
                  <w:tcW w:w="3054" w:type="dxa"/>
                  <w:gridSpan w:val="3"/>
                  <w:tcBorders>
                    <w:top w:val="single" w:sz="4" w:space="0" w:color="auto"/>
                    <w:left w:val="nil"/>
                    <w:bottom w:val="single" w:sz="4" w:space="0" w:color="auto"/>
                    <w:right w:val="single" w:sz="4" w:space="0" w:color="auto"/>
                  </w:tcBorders>
                  <w:shd w:val="clear" w:color="000000" w:fill="1F497D"/>
                  <w:noWrap/>
                  <w:vAlign w:val="center"/>
                  <w:hideMark/>
                </w:tcPr>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Impozit 2% Numar</w:t>
                  </w:r>
                </w:p>
              </w:tc>
              <w:tc>
                <w:tcPr>
                  <w:tcW w:w="2730" w:type="dxa"/>
                  <w:gridSpan w:val="3"/>
                  <w:tcBorders>
                    <w:top w:val="single" w:sz="4" w:space="0" w:color="auto"/>
                    <w:left w:val="nil"/>
                    <w:bottom w:val="single" w:sz="4" w:space="0" w:color="auto"/>
                    <w:right w:val="single" w:sz="4" w:space="0" w:color="auto"/>
                  </w:tcBorders>
                  <w:shd w:val="clear" w:color="000000" w:fill="1F497D"/>
                  <w:noWrap/>
                  <w:vAlign w:val="center"/>
                  <w:hideMark/>
                </w:tcPr>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Impozit 2% Valoare Impozit (mil RON)</w:t>
                  </w:r>
                </w:p>
              </w:tc>
              <w:tc>
                <w:tcPr>
                  <w:tcW w:w="1341" w:type="dxa"/>
                  <w:vMerge w:val="restart"/>
                  <w:tcBorders>
                    <w:top w:val="nil"/>
                    <w:left w:val="single" w:sz="4" w:space="0" w:color="auto"/>
                    <w:bottom w:val="nil"/>
                    <w:right w:val="nil"/>
                  </w:tcBorders>
                  <w:shd w:val="clear" w:color="000000" w:fill="1F497D"/>
                  <w:vAlign w:val="center"/>
                  <w:hideMark/>
                </w:tcPr>
                <w:p w:rsid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Pr>
                      <w:rFonts w:ascii="Times New Roman" w:eastAsia="Times New Roman" w:hAnsi="Times New Roman" w:cs="Times New Roman"/>
                      <w:b/>
                      <w:bCs/>
                      <w:color w:val="FFFFFF"/>
                      <w:sz w:val="20"/>
                      <w:szCs w:val="20"/>
                      <w:lang w:eastAsia="ro-RO"/>
                    </w:rPr>
                    <w:t>Total Impozit Nou (2%)</w:t>
                  </w:r>
                </w:p>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Mil RON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Total Impozit Actual Mil RON</w:t>
                  </w:r>
                </w:p>
              </w:tc>
            </w:tr>
            <w:tr w:rsidR="00C47049" w:rsidRPr="00C47049" w:rsidTr="0095662A">
              <w:trPr>
                <w:trHeight w:val="288"/>
              </w:trPr>
              <w:tc>
                <w:tcPr>
                  <w:tcW w:w="2044" w:type="dxa"/>
                  <w:vMerge/>
                  <w:tcBorders>
                    <w:top w:val="single" w:sz="4" w:space="0" w:color="auto"/>
                    <w:left w:val="single" w:sz="4" w:space="0" w:color="auto"/>
                    <w:bottom w:val="single" w:sz="4" w:space="0" w:color="auto"/>
                    <w:right w:val="single" w:sz="4" w:space="0" w:color="auto"/>
                  </w:tcBorders>
                  <w:vAlign w:val="center"/>
                  <w:hideMark/>
                </w:tcPr>
                <w:p w:rsidR="00C47049" w:rsidRPr="00C47049" w:rsidRDefault="00C47049" w:rsidP="00C47049">
                  <w:pPr>
                    <w:spacing w:after="0" w:line="240" w:lineRule="auto"/>
                    <w:rPr>
                      <w:rFonts w:ascii="Times New Roman" w:eastAsia="Times New Roman" w:hAnsi="Times New Roman" w:cs="Times New Roman"/>
                      <w:b/>
                      <w:bCs/>
                      <w:color w:val="FFFFFF"/>
                      <w:sz w:val="20"/>
                      <w:szCs w:val="20"/>
                      <w:lang w:eastAsia="ro-RO"/>
                    </w:rPr>
                  </w:pPr>
                </w:p>
              </w:tc>
              <w:tc>
                <w:tcPr>
                  <w:tcW w:w="1017" w:type="dxa"/>
                  <w:tcBorders>
                    <w:top w:val="nil"/>
                    <w:left w:val="nil"/>
                    <w:bottom w:val="single" w:sz="4" w:space="0" w:color="auto"/>
                    <w:right w:val="single" w:sz="4" w:space="0" w:color="auto"/>
                  </w:tcBorders>
                  <w:shd w:val="clear" w:color="DCE6F1" w:fill="1F497D"/>
                  <w:noWrap/>
                  <w:vAlign w:val="center"/>
                  <w:hideMark/>
                </w:tcPr>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Inferior</w:t>
                  </w:r>
                </w:p>
              </w:tc>
              <w:tc>
                <w:tcPr>
                  <w:tcW w:w="931" w:type="dxa"/>
                  <w:tcBorders>
                    <w:top w:val="nil"/>
                    <w:left w:val="nil"/>
                    <w:bottom w:val="single" w:sz="4" w:space="0" w:color="auto"/>
                    <w:right w:val="single" w:sz="4" w:space="0" w:color="auto"/>
                  </w:tcBorders>
                  <w:shd w:val="clear" w:color="DCE6F1" w:fill="1F497D"/>
                  <w:noWrap/>
                  <w:vAlign w:val="center"/>
                  <w:hideMark/>
                </w:tcPr>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Egal</w:t>
                  </w:r>
                </w:p>
              </w:tc>
              <w:tc>
                <w:tcPr>
                  <w:tcW w:w="1106" w:type="dxa"/>
                  <w:tcBorders>
                    <w:top w:val="nil"/>
                    <w:left w:val="nil"/>
                    <w:bottom w:val="single" w:sz="4" w:space="0" w:color="auto"/>
                    <w:right w:val="single" w:sz="4" w:space="0" w:color="auto"/>
                  </w:tcBorders>
                  <w:shd w:val="clear" w:color="DCE6F1" w:fill="1F497D"/>
                  <w:noWrap/>
                  <w:vAlign w:val="center"/>
                  <w:hideMark/>
                </w:tcPr>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Superior</w:t>
                  </w:r>
                </w:p>
              </w:tc>
              <w:tc>
                <w:tcPr>
                  <w:tcW w:w="1046" w:type="dxa"/>
                  <w:tcBorders>
                    <w:top w:val="nil"/>
                    <w:left w:val="nil"/>
                    <w:bottom w:val="nil"/>
                    <w:right w:val="single" w:sz="4" w:space="0" w:color="auto"/>
                  </w:tcBorders>
                  <w:shd w:val="clear" w:color="DCE6F1" w:fill="1F497D"/>
                  <w:noWrap/>
                  <w:vAlign w:val="center"/>
                  <w:hideMark/>
                </w:tcPr>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Inferior</w:t>
                  </w:r>
                </w:p>
              </w:tc>
              <w:tc>
                <w:tcPr>
                  <w:tcW w:w="672" w:type="dxa"/>
                  <w:tcBorders>
                    <w:top w:val="nil"/>
                    <w:left w:val="nil"/>
                    <w:bottom w:val="nil"/>
                    <w:right w:val="single" w:sz="4" w:space="0" w:color="auto"/>
                  </w:tcBorders>
                  <w:shd w:val="clear" w:color="DCE6F1" w:fill="1F497D"/>
                  <w:noWrap/>
                  <w:vAlign w:val="center"/>
                  <w:hideMark/>
                </w:tcPr>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Egal</w:t>
                  </w:r>
                </w:p>
              </w:tc>
              <w:tc>
                <w:tcPr>
                  <w:tcW w:w="1012" w:type="dxa"/>
                  <w:tcBorders>
                    <w:top w:val="nil"/>
                    <w:left w:val="nil"/>
                    <w:bottom w:val="nil"/>
                    <w:right w:val="single" w:sz="4" w:space="0" w:color="auto"/>
                  </w:tcBorders>
                  <w:shd w:val="clear" w:color="DCE6F1" w:fill="1F497D"/>
                  <w:noWrap/>
                  <w:vAlign w:val="center"/>
                  <w:hideMark/>
                </w:tcPr>
                <w:p w:rsidR="00C47049" w:rsidRPr="00C47049" w:rsidRDefault="00C47049" w:rsidP="0095662A">
                  <w:pPr>
                    <w:spacing w:after="0" w:line="240" w:lineRule="auto"/>
                    <w:jc w:val="center"/>
                    <w:rPr>
                      <w:rFonts w:ascii="Times New Roman" w:eastAsia="Times New Roman" w:hAnsi="Times New Roman" w:cs="Times New Roman"/>
                      <w:b/>
                      <w:bCs/>
                      <w:color w:val="FFFFFF"/>
                      <w:sz w:val="20"/>
                      <w:szCs w:val="20"/>
                      <w:lang w:eastAsia="ro-RO"/>
                    </w:rPr>
                  </w:pPr>
                  <w:r w:rsidRPr="00C47049">
                    <w:rPr>
                      <w:rFonts w:ascii="Times New Roman" w:eastAsia="Times New Roman" w:hAnsi="Times New Roman" w:cs="Times New Roman"/>
                      <w:b/>
                      <w:bCs/>
                      <w:color w:val="FFFFFF"/>
                      <w:sz w:val="20"/>
                      <w:szCs w:val="20"/>
                      <w:lang w:eastAsia="ro-RO"/>
                    </w:rPr>
                    <w:t>Superior</w:t>
                  </w:r>
                </w:p>
              </w:tc>
              <w:tc>
                <w:tcPr>
                  <w:tcW w:w="1341" w:type="dxa"/>
                  <w:vMerge/>
                  <w:tcBorders>
                    <w:top w:val="nil"/>
                    <w:left w:val="single" w:sz="4" w:space="0" w:color="auto"/>
                    <w:bottom w:val="nil"/>
                    <w:right w:val="nil"/>
                  </w:tcBorders>
                  <w:vAlign w:val="center"/>
                  <w:hideMark/>
                </w:tcPr>
                <w:p w:rsidR="00C47049" w:rsidRPr="00C47049" w:rsidRDefault="00C47049" w:rsidP="00C47049">
                  <w:pPr>
                    <w:spacing w:after="0" w:line="240" w:lineRule="auto"/>
                    <w:rPr>
                      <w:rFonts w:ascii="Times New Roman" w:eastAsia="Times New Roman" w:hAnsi="Times New Roman" w:cs="Times New Roman"/>
                      <w:b/>
                      <w:bCs/>
                      <w:color w:val="FFFFFF"/>
                      <w:sz w:val="20"/>
                      <w:szCs w:val="20"/>
                      <w:lang w:eastAsia="ro-R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C47049" w:rsidRPr="00C47049" w:rsidRDefault="00C47049" w:rsidP="00C47049">
                  <w:pPr>
                    <w:spacing w:after="0" w:line="240" w:lineRule="auto"/>
                    <w:rPr>
                      <w:rFonts w:ascii="Times New Roman" w:eastAsia="Times New Roman" w:hAnsi="Times New Roman" w:cs="Times New Roman"/>
                      <w:b/>
                      <w:bCs/>
                      <w:color w:val="FFFFFF"/>
                      <w:sz w:val="20"/>
                      <w:szCs w:val="20"/>
                      <w:lang w:eastAsia="ro-RO"/>
                    </w:rPr>
                  </w:pPr>
                </w:p>
              </w:tc>
            </w:tr>
            <w:tr w:rsidR="00C47049" w:rsidRPr="00C47049" w:rsidTr="0095662A">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Fara Activitate</w:t>
                  </w:r>
                </w:p>
              </w:tc>
              <w:tc>
                <w:tcPr>
                  <w:tcW w:w="1017"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93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179.484</w:t>
                  </w:r>
                </w:p>
              </w:tc>
              <w:tc>
                <w:tcPr>
                  <w:tcW w:w="110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318"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r>
            <w:tr w:rsidR="00C47049" w:rsidRPr="00C47049" w:rsidTr="0095662A">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0 - 500 K EUR</w:t>
                  </w:r>
                </w:p>
              </w:tc>
              <w:tc>
                <w:tcPr>
                  <w:tcW w:w="1017"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113.913</w:t>
                  </w:r>
                </w:p>
              </w:tc>
              <w:tc>
                <w:tcPr>
                  <w:tcW w:w="93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10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313.176</w:t>
                  </w:r>
                </w:p>
              </w:tc>
              <w:tc>
                <w:tcPr>
                  <w:tcW w:w="104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260</w:t>
                  </w:r>
                </w:p>
              </w:tc>
              <w:tc>
                <w:tcPr>
                  <w:tcW w:w="67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w:t>
                  </w:r>
                </w:p>
              </w:tc>
              <w:tc>
                <w:tcPr>
                  <w:tcW w:w="101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2.240</w:t>
                  </w:r>
                </w:p>
              </w:tc>
              <w:tc>
                <w:tcPr>
                  <w:tcW w:w="134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2.501</w:t>
                  </w:r>
                </w:p>
              </w:tc>
              <w:tc>
                <w:tcPr>
                  <w:tcW w:w="1318"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1.511</w:t>
                  </w:r>
                </w:p>
              </w:tc>
            </w:tr>
            <w:tr w:rsidR="00C47049" w:rsidRPr="00C47049" w:rsidTr="0095662A">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500 - 1000 K EUR</w:t>
                  </w:r>
                </w:p>
              </w:tc>
              <w:tc>
                <w:tcPr>
                  <w:tcW w:w="1017"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4.964</w:t>
                  </w:r>
                </w:p>
              </w:tc>
              <w:tc>
                <w:tcPr>
                  <w:tcW w:w="93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10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14.208</w:t>
                  </w:r>
                </w:p>
              </w:tc>
              <w:tc>
                <w:tcPr>
                  <w:tcW w:w="104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309</w:t>
                  </w:r>
                </w:p>
              </w:tc>
              <w:tc>
                <w:tcPr>
                  <w:tcW w:w="67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w:t>
                  </w:r>
                </w:p>
              </w:tc>
              <w:tc>
                <w:tcPr>
                  <w:tcW w:w="101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889</w:t>
                  </w:r>
                </w:p>
              </w:tc>
              <w:tc>
                <w:tcPr>
                  <w:tcW w:w="134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1.198</w:t>
                  </w:r>
                </w:p>
              </w:tc>
              <w:tc>
                <w:tcPr>
                  <w:tcW w:w="1318"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929</w:t>
                  </w:r>
                </w:p>
              </w:tc>
            </w:tr>
            <w:tr w:rsidR="00C47049" w:rsidRPr="00C47049" w:rsidTr="0095662A">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1 - 5 MIL EUR</w:t>
                  </w:r>
                </w:p>
              </w:tc>
              <w:tc>
                <w:tcPr>
                  <w:tcW w:w="1017"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4.471</w:t>
                  </w:r>
                </w:p>
              </w:tc>
              <w:tc>
                <w:tcPr>
                  <w:tcW w:w="93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10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15.093</w:t>
                  </w:r>
                </w:p>
              </w:tc>
              <w:tc>
                <w:tcPr>
                  <w:tcW w:w="104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810</w:t>
                  </w:r>
                </w:p>
              </w:tc>
              <w:tc>
                <w:tcPr>
                  <w:tcW w:w="67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w:t>
                  </w:r>
                </w:p>
              </w:tc>
              <w:tc>
                <w:tcPr>
                  <w:tcW w:w="101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2.848</w:t>
                  </w:r>
                </w:p>
              </w:tc>
              <w:tc>
                <w:tcPr>
                  <w:tcW w:w="134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3.658</w:t>
                  </w:r>
                </w:p>
              </w:tc>
              <w:tc>
                <w:tcPr>
                  <w:tcW w:w="1318"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2.511</w:t>
                  </w:r>
                </w:p>
              </w:tc>
            </w:tr>
            <w:tr w:rsidR="00C47049" w:rsidRPr="00C47049" w:rsidTr="0095662A">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5 - 10 MIL EUR</w:t>
                  </w:r>
                </w:p>
              </w:tc>
              <w:tc>
                <w:tcPr>
                  <w:tcW w:w="1017"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553</w:t>
                  </w:r>
                </w:p>
              </w:tc>
              <w:tc>
                <w:tcPr>
                  <w:tcW w:w="93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10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2.504</w:t>
                  </w:r>
                </w:p>
              </w:tc>
              <w:tc>
                <w:tcPr>
                  <w:tcW w:w="104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340</w:t>
                  </w:r>
                </w:p>
              </w:tc>
              <w:tc>
                <w:tcPr>
                  <w:tcW w:w="67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w:t>
                  </w:r>
                </w:p>
              </w:tc>
              <w:tc>
                <w:tcPr>
                  <w:tcW w:w="101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1.554</w:t>
                  </w:r>
                </w:p>
              </w:tc>
              <w:tc>
                <w:tcPr>
                  <w:tcW w:w="134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1.894</w:t>
                  </w:r>
                </w:p>
              </w:tc>
              <w:tc>
                <w:tcPr>
                  <w:tcW w:w="1318"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1.088</w:t>
                  </w:r>
                </w:p>
              </w:tc>
            </w:tr>
            <w:tr w:rsidR="00C47049" w:rsidRPr="00C47049" w:rsidTr="0095662A">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10 - 50 MIL EUR</w:t>
                  </w:r>
                </w:p>
              </w:tc>
              <w:tc>
                <w:tcPr>
                  <w:tcW w:w="1017"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368</w:t>
                  </w:r>
                </w:p>
              </w:tc>
              <w:tc>
                <w:tcPr>
                  <w:tcW w:w="93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10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2.215</w:t>
                  </w:r>
                </w:p>
              </w:tc>
              <w:tc>
                <w:tcPr>
                  <w:tcW w:w="104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633</w:t>
                  </w:r>
                </w:p>
              </w:tc>
              <w:tc>
                <w:tcPr>
                  <w:tcW w:w="67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w:t>
                  </w:r>
                </w:p>
              </w:tc>
              <w:tc>
                <w:tcPr>
                  <w:tcW w:w="101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3.995</w:t>
                  </w:r>
                </w:p>
              </w:tc>
              <w:tc>
                <w:tcPr>
                  <w:tcW w:w="134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4.628</w:t>
                  </w:r>
                </w:p>
              </w:tc>
              <w:tc>
                <w:tcPr>
                  <w:tcW w:w="1318"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2.236</w:t>
                  </w:r>
                </w:p>
              </w:tc>
            </w:tr>
            <w:tr w:rsidR="00C47049" w:rsidRPr="00C47049" w:rsidTr="0095662A">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50 - 100 MIL EUR</w:t>
                  </w:r>
                </w:p>
              </w:tc>
              <w:tc>
                <w:tcPr>
                  <w:tcW w:w="1017"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38</w:t>
                  </w:r>
                </w:p>
              </w:tc>
              <w:tc>
                <w:tcPr>
                  <w:tcW w:w="93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10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250</w:t>
                  </w:r>
                </w:p>
              </w:tc>
              <w:tc>
                <w:tcPr>
                  <w:tcW w:w="104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235</w:t>
                  </w:r>
                </w:p>
              </w:tc>
              <w:tc>
                <w:tcPr>
                  <w:tcW w:w="67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w:t>
                  </w:r>
                </w:p>
              </w:tc>
              <w:tc>
                <w:tcPr>
                  <w:tcW w:w="101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1.522</w:t>
                  </w:r>
                </w:p>
              </w:tc>
              <w:tc>
                <w:tcPr>
                  <w:tcW w:w="134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1.758</w:t>
                  </w:r>
                </w:p>
              </w:tc>
              <w:tc>
                <w:tcPr>
                  <w:tcW w:w="1318"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829</w:t>
                  </w:r>
                </w:p>
              </w:tc>
            </w:tr>
            <w:tr w:rsidR="00C47049" w:rsidRPr="00C47049" w:rsidTr="0095662A">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Peste 100 MIL EUR</w:t>
                  </w:r>
                </w:p>
              </w:tc>
              <w:tc>
                <w:tcPr>
                  <w:tcW w:w="1017"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37</w:t>
                  </w:r>
                </w:p>
              </w:tc>
              <w:tc>
                <w:tcPr>
                  <w:tcW w:w="93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p>
              </w:tc>
              <w:tc>
                <w:tcPr>
                  <w:tcW w:w="110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225</w:t>
                  </w:r>
                </w:p>
              </w:tc>
              <w:tc>
                <w:tcPr>
                  <w:tcW w:w="104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903</w:t>
                  </w:r>
                </w:p>
              </w:tc>
              <w:tc>
                <w:tcPr>
                  <w:tcW w:w="67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w:t>
                  </w:r>
                </w:p>
              </w:tc>
              <w:tc>
                <w:tcPr>
                  <w:tcW w:w="101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7.340</w:t>
                  </w:r>
                </w:p>
              </w:tc>
              <w:tc>
                <w:tcPr>
                  <w:tcW w:w="134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8.242</w:t>
                  </w:r>
                </w:p>
              </w:tc>
              <w:tc>
                <w:tcPr>
                  <w:tcW w:w="1318"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color w:val="000000"/>
                      <w:sz w:val="20"/>
                      <w:szCs w:val="20"/>
                      <w:lang w:eastAsia="ro-RO"/>
                    </w:rPr>
                  </w:pPr>
                  <w:r w:rsidRPr="00C47049">
                    <w:rPr>
                      <w:rFonts w:ascii="Times New Roman" w:eastAsia="Times New Roman" w:hAnsi="Times New Roman" w:cs="Times New Roman"/>
                      <w:color w:val="000000"/>
                      <w:sz w:val="20"/>
                      <w:szCs w:val="20"/>
                      <w:lang w:eastAsia="ro-RO"/>
                    </w:rPr>
                    <w:t>3.610</w:t>
                  </w:r>
                </w:p>
              </w:tc>
            </w:tr>
            <w:tr w:rsidR="00C47049" w:rsidRPr="00C47049" w:rsidTr="0095662A">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rPr>
                      <w:rFonts w:ascii="Times New Roman" w:eastAsia="Times New Roman" w:hAnsi="Times New Roman" w:cs="Times New Roman"/>
                      <w:b/>
                      <w:bCs/>
                      <w:color w:val="000000"/>
                      <w:sz w:val="20"/>
                      <w:szCs w:val="20"/>
                      <w:lang w:eastAsia="ro-RO"/>
                    </w:rPr>
                  </w:pPr>
                  <w:r w:rsidRPr="00C47049">
                    <w:rPr>
                      <w:rFonts w:ascii="Times New Roman" w:eastAsia="Times New Roman" w:hAnsi="Times New Roman" w:cs="Times New Roman"/>
                      <w:b/>
                      <w:bCs/>
                      <w:color w:val="000000"/>
                      <w:sz w:val="20"/>
                      <w:szCs w:val="20"/>
                      <w:lang w:eastAsia="ro-RO"/>
                    </w:rPr>
                    <w:t>Total</w:t>
                  </w:r>
                </w:p>
              </w:tc>
              <w:tc>
                <w:tcPr>
                  <w:tcW w:w="1017"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b/>
                      <w:bCs/>
                      <w:color w:val="000000"/>
                      <w:sz w:val="20"/>
                      <w:szCs w:val="20"/>
                      <w:lang w:eastAsia="ro-RO"/>
                    </w:rPr>
                  </w:pPr>
                  <w:r w:rsidRPr="00C47049">
                    <w:rPr>
                      <w:rFonts w:ascii="Times New Roman" w:eastAsia="Times New Roman" w:hAnsi="Times New Roman" w:cs="Times New Roman"/>
                      <w:b/>
                      <w:bCs/>
                      <w:color w:val="000000"/>
                      <w:sz w:val="20"/>
                      <w:szCs w:val="20"/>
                      <w:lang w:eastAsia="ro-RO"/>
                    </w:rPr>
                    <w:t>124.344</w:t>
                  </w:r>
                </w:p>
              </w:tc>
              <w:tc>
                <w:tcPr>
                  <w:tcW w:w="93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b/>
                      <w:bCs/>
                      <w:color w:val="000000"/>
                      <w:sz w:val="20"/>
                      <w:szCs w:val="20"/>
                      <w:lang w:eastAsia="ro-RO"/>
                    </w:rPr>
                  </w:pPr>
                  <w:r w:rsidRPr="00C47049">
                    <w:rPr>
                      <w:rFonts w:ascii="Times New Roman" w:eastAsia="Times New Roman" w:hAnsi="Times New Roman" w:cs="Times New Roman"/>
                      <w:b/>
                      <w:bCs/>
                      <w:color w:val="000000"/>
                      <w:sz w:val="20"/>
                      <w:szCs w:val="20"/>
                      <w:lang w:eastAsia="ro-RO"/>
                    </w:rPr>
                    <w:t>179.484</w:t>
                  </w:r>
                </w:p>
              </w:tc>
              <w:tc>
                <w:tcPr>
                  <w:tcW w:w="110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b/>
                      <w:bCs/>
                      <w:color w:val="000000"/>
                      <w:sz w:val="20"/>
                      <w:szCs w:val="20"/>
                      <w:lang w:eastAsia="ro-RO"/>
                    </w:rPr>
                  </w:pPr>
                  <w:r w:rsidRPr="00C47049">
                    <w:rPr>
                      <w:rFonts w:ascii="Times New Roman" w:eastAsia="Times New Roman" w:hAnsi="Times New Roman" w:cs="Times New Roman"/>
                      <w:b/>
                      <w:bCs/>
                      <w:color w:val="000000"/>
                      <w:sz w:val="20"/>
                      <w:szCs w:val="20"/>
                      <w:lang w:eastAsia="ro-RO"/>
                    </w:rPr>
                    <w:t>347.671</w:t>
                  </w:r>
                </w:p>
              </w:tc>
              <w:tc>
                <w:tcPr>
                  <w:tcW w:w="1046"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b/>
                      <w:bCs/>
                      <w:color w:val="000000"/>
                      <w:sz w:val="20"/>
                      <w:szCs w:val="20"/>
                      <w:lang w:eastAsia="ro-RO"/>
                    </w:rPr>
                  </w:pPr>
                  <w:r w:rsidRPr="00C47049">
                    <w:rPr>
                      <w:rFonts w:ascii="Times New Roman" w:eastAsia="Times New Roman" w:hAnsi="Times New Roman" w:cs="Times New Roman"/>
                      <w:b/>
                      <w:bCs/>
                      <w:color w:val="000000"/>
                      <w:sz w:val="20"/>
                      <w:szCs w:val="20"/>
                      <w:lang w:eastAsia="ro-RO"/>
                    </w:rPr>
                    <w:t>3.490</w:t>
                  </w:r>
                </w:p>
              </w:tc>
              <w:tc>
                <w:tcPr>
                  <w:tcW w:w="67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b/>
                      <w:bCs/>
                      <w:color w:val="000000"/>
                      <w:sz w:val="20"/>
                      <w:szCs w:val="20"/>
                      <w:lang w:eastAsia="ro-RO"/>
                    </w:rPr>
                  </w:pPr>
                  <w:r w:rsidRPr="00C47049">
                    <w:rPr>
                      <w:rFonts w:ascii="Times New Roman" w:eastAsia="Times New Roman" w:hAnsi="Times New Roman" w:cs="Times New Roman"/>
                      <w:b/>
                      <w:bCs/>
                      <w:color w:val="000000"/>
                      <w:sz w:val="20"/>
                      <w:szCs w:val="20"/>
                      <w:lang w:eastAsia="ro-RO"/>
                    </w:rPr>
                    <w:t>-</w:t>
                  </w:r>
                </w:p>
              </w:tc>
              <w:tc>
                <w:tcPr>
                  <w:tcW w:w="1012"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b/>
                      <w:bCs/>
                      <w:color w:val="000000"/>
                      <w:sz w:val="20"/>
                      <w:szCs w:val="20"/>
                      <w:lang w:eastAsia="ro-RO"/>
                    </w:rPr>
                  </w:pPr>
                  <w:r w:rsidRPr="00C47049">
                    <w:rPr>
                      <w:rFonts w:ascii="Times New Roman" w:eastAsia="Times New Roman" w:hAnsi="Times New Roman" w:cs="Times New Roman"/>
                      <w:b/>
                      <w:bCs/>
                      <w:color w:val="000000"/>
                      <w:sz w:val="20"/>
                      <w:szCs w:val="20"/>
                      <w:lang w:eastAsia="ro-RO"/>
                    </w:rPr>
                    <w:t>20.389</w:t>
                  </w:r>
                </w:p>
              </w:tc>
              <w:tc>
                <w:tcPr>
                  <w:tcW w:w="1341"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b/>
                      <w:bCs/>
                      <w:color w:val="000000"/>
                      <w:sz w:val="20"/>
                      <w:szCs w:val="20"/>
                      <w:lang w:eastAsia="ro-RO"/>
                    </w:rPr>
                  </w:pPr>
                  <w:r w:rsidRPr="00C47049">
                    <w:rPr>
                      <w:rFonts w:ascii="Times New Roman" w:eastAsia="Times New Roman" w:hAnsi="Times New Roman" w:cs="Times New Roman"/>
                      <w:b/>
                      <w:bCs/>
                      <w:color w:val="000000"/>
                      <w:sz w:val="20"/>
                      <w:szCs w:val="20"/>
                      <w:lang w:eastAsia="ro-RO"/>
                    </w:rPr>
                    <w:t>23.879</w:t>
                  </w:r>
                </w:p>
              </w:tc>
              <w:tc>
                <w:tcPr>
                  <w:tcW w:w="1318" w:type="dxa"/>
                  <w:tcBorders>
                    <w:top w:val="nil"/>
                    <w:left w:val="nil"/>
                    <w:bottom w:val="single" w:sz="4" w:space="0" w:color="auto"/>
                    <w:right w:val="single" w:sz="4" w:space="0" w:color="auto"/>
                  </w:tcBorders>
                  <w:shd w:val="clear" w:color="auto" w:fill="auto"/>
                  <w:noWrap/>
                  <w:vAlign w:val="bottom"/>
                  <w:hideMark/>
                </w:tcPr>
                <w:p w:rsidR="00C47049" w:rsidRPr="00C47049" w:rsidRDefault="00C47049" w:rsidP="00C47049">
                  <w:pPr>
                    <w:spacing w:after="0" w:line="240" w:lineRule="auto"/>
                    <w:jc w:val="center"/>
                    <w:rPr>
                      <w:rFonts w:ascii="Times New Roman" w:eastAsia="Times New Roman" w:hAnsi="Times New Roman" w:cs="Times New Roman"/>
                      <w:b/>
                      <w:bCs/>
                      <w:color w:val="000000"/>
                      <w:sz w:val="20"/>
                      <w:szCs w:val="20"/>
                      <w:lang w:eastAsia="ro-RO"/>
                    </w:rPr>
                  </w:pPr>
                  <w:r w:rsidRPr="00C47049">
                    <w:rPr>
                      <w:rFonts w:ascii="Times New Roman" w:eastAsia="Times New Roman" w:hAnsi="Times New Roman" w:cs="Times New Roman"/>
                      <w:b/>
                      <w:bCs/>
                      <w:color w:val="000000"/>
                      <w:sz w:val="20"/>
                      <w:szCs w:val="20"/>
                      <w:lang w:eastAsia="ro-RO"/>
                    </w:rPr>
                    <w:t>12.714</w:t>
                  </w:r>
                </w:p>
              </w:tc>
            </w:tr>
          </w:tbl>
          <w:p w:rsidR="00E94B90" w:rsidRPr="003D0545" w:rsidRDefault="00E94B90" w:rsidP="00E94B90">
            <w:pPr>
              <w:rPr>
                <w:rFonts w:ascii="Times New Roman" w:hAnsi="Times New Roman" w:cs="Times New Roman"/>
                <w:i/>
                <w:sz w:val="24"/>
                <w:szCs w:val="24"/>
              </w:rPr>
            </w:pPr>
            <w:r w:rsidRPr="003D0545">
              <w:rPr>
                <w:rFonts w:ascii="Times New Roman" w:hAnsi="Times New Roman" w:cs="Times New Roman"/>
                <w:i/>
                <w:sz w:val="24"/>
                <w:szCs w:val="24"/>
              </w:rPr>
              <w:t>Sursa: MFP, date prelucrate autor</w:t>
            </w:r>
          </w:p>
          <w:p w:rsidR="00930C8D" w:rsidRDefault="00930C8D" w:rsidP="00715E44">
            <w:pPr>
              <w:rPr>
                <w:rFonts w:ascii="Times New Roman" w:hAnsi="Times New Roman" w:cs="Times New Roman"/>
                <w:sz w:val="24"/>
                <w:szCs w:val="24"/>
              </w:rPr>
            </w:pPr>
          </w:p>
          <w:p w:rsidR="0095662A" w:rsidRDefault="0095662A" w:rsidP="00715E44">
            <w:pPr>
              <w:rPr>
                <w:rFonts w:ascii="Times New Roman" w:hAnsi="Times New Roman" w:cs="Times New Roman"/>
                <w:sz w:val="24"/>
                <w:szCs w:val="24"/>
              </w:rPr>
            </w:pPr>
          </w:p>
          <w:p w:rsidR="0095662A" w:rsidRDefault="0095662A" w:rsidP="00715E44">
            <w:pPr>
              <w:rPr>
                <w:rFonts w:ascii="Times New Roman" w:hAnsi="Times New Roman" w:cs="Times New Roman"/>
                <w:sz w:val="24"/>
                <w:szCs w:val="24"/>
              </w:rPr>
            </w:pPr>
          </w:p>
          <w:p w:rsidR="00C71C4C" w:rsidRDefault="00C71C4C" w:rsidP="006F72E5">
            <w:pPr>
              <w:jc w:val="both"/>
              <w:rPr>
                <w:rFonts w:ascii="Times New Roman" w:hAnsi="Times New Roman" w:cs="Times New Roman"/>
                <w:b/>
                <w:sz w:val="24"/>
                <w:szCs w:val="24"/>
              </w:rPr>
            </w:pPr>
            <w:r w:rsidRPr="00B72858">
              <w:rPr>
                <w:rFonts w:ascii="Times New Roman" w:hAnsi="Times New Roman" w:cs="Times New Roman"/>
                <w:b/>
                <w:sz w:val="24"/>
                <w:szCs w:val="24"/>
              </w:rPr>
              <w:t xml:space="preserve">3. In scenariul in care toate </w:t>
            </w:r>
            <w:r w:rsidR="00B72858" w:rsidRPr="00B72858">
              <w:rPr>
                <w:rFonts w:ascii="Times New Roman" w:hAnsi="Times New Roman" w:cs="Times New Roman"/>
                <w:b/>
                <w:sz w:val="24"/>
                <w:szCs w:val="24"/>
              </w:rPr>
              <w:t>companiile ar plati impozit de 3</w:t>
            </w:r>
            <w:r w:rsidR="00E94B90">
              <w:rPr>
                <w:rFonts w:ascii="Times New Roman" w:hAnsi="Times New Roman" w:cs="Times New Roman"/>
                <w:b/>
                <w:sz w:val="24"/>
                <w:szCs w:val="24"/>
              </w:rPr>
              <w:t xml:space="preserve">% pe venit: </w:t>
            </w:r>
            <w:r w:rsidR="006F72E5">
              <w:rPr>
                <w:rFonts w:ascii="Times New Roman" w:hAnsi="Times New Roman" w:cs="Times New Roman"/>
                <w:sz w:val="24"/>
                <w:szCs w:val="24"/>
              </w:rPr>
              <w:t xml:space="preserve">aproximativ </w:t>
            </w:r>
            <w:r w:rsidR="0095662A">
              <w:rPr>
                <w:rFonts w:ascii="Times New Roman" w:hAnsi="Times New Roman" w:cs="Times New Roman"/>
                <w:sz w:val="24"/>
                <w:szCs w:val="24"/>
              </w:rPr>
              <w:t>352.000</w:t>
            </w:r>
            <w:r w:rsidR="006F72E5">
              <w:rPr>
                <w:rFonts w:ascii="Times New Roman" w:hAnsi="Times New Roman" w:cs="Times New Roman"/>
                <w:sz w:val="24"/>
                <w:szCs w:val="24"/>
              </w:rPr>
              <w:t xml:space="preserve"> de companii ar plati un impozit mai mare, </w:t>
            </w:r>
            <w:r w:rsidR="0095662A">
              <w:rPr>
                <w:rFonts w:ascii="Times New Roman" w:hAnsi="Times New Roman" w:cs="Times New Roman"/>
                <w:sz w:val="24"/>
                <w:szCs w:val="24"/>
              </w:rPr>
              <w:t>6</w:t>
            </w:r>
            <w:r w:rsidR="00A157EB">
              <w:rPr>
                <w:rFonts w:ascii="Times New Roman" w:hAnsi="Times New Roman" w:cs="Times New Roman"/>
                <w:sz w:val="24"/>
                <w:szCs w:val="24"/>
              </w:rPr>
              <w:t>.</w:t>
            </w:r>
            <w:r w:rsidR="0095662A">
              <w:rPr>
                <w:rFonts w:ascii="Times New Roman" w:hAnsi="Times New Roman" w:cs="Times New Roman"/>
                <w:sz w:val="24"/>
                <w:szCs w:val="24"/>
              </w:rPr>
              <w:t>000</w:t>
            </w:r>
            <w:r w:rsidR="006F72E5">
              <w:rPr>
                <w:rFonts w:ascii="Times New Roman" w:hAnsi="Times New Roman" w:cs="Times New Roman"/>
                <w:sz w:val="24"/>
                <w:szCs w:val="24"/>
              </w:rPr>
              <w:t xml:space="preserve"> de companii ar plati un impozit inferior, in timp ce restul companiilor ar plati acelasi impozit precum cel actual (</w:t>
            </w:r>
            <w:r w:rsidR="0095662A">
              <w:rPr>
                <w:rFonts w:ascii="Times New Roman" w:hAnsi="Times New Roman" w:cs="Times New Roman"/>
                <w:sz w:val="24"/>
                <w:szCs w:val="24"/>
              </w:rPr>
              <w:t>fata de scenariul anterior, se adauga aici microintreprinderile care au zero angajati, deci platesc in momentul de fata impozit de 3% pe venit</w:t>
            </w:r>
            <w:r w:rsidR="006F72E5">
              <w:rPr>
                <w:rFonts w:ascii="Times New Roman" w:hAnsi="Times New Roman" w:cs="Times New Roman"/>
                <w:sz w:val="24"/>
                <w:szCs w:val="24"/>
              </w:rPr>
              <w:t xml:space="preserve">). In total, nivelul cumulat al impozitului pe venit ar fi de </w:t>
            </w:r>
            <w:r w:rsidR="0095662A">
              <w:rPr>
                <w:rFonts w:ascii="Times New Roman" w:hAnsi="Times New Roman" w:cs="Times New Roman"/>
                <w:sz w:val="24"/>
                <w:szCs w:val="24"/>
              </w:rPr>
              <w:t>35,82</w:t>
            </w:r>
            <w:r w:rsidR="006F72E5">
              <w:rPr>
                <w:rFonts w:ascii="Times New Roman" w:hAnsi="Times New Roman" w:cs="Times New Roman"/>
                <w:sz w:val="24"/>
                <w:szCs w:val="24"/>
              </w:rPr>
              <w:t xml:space="preserve"> mld RON, cu aproximativ </w:t>
            </w:r>
            <w:r w:rsidR="0095662A">
              <w:rPr>
                <w:rFonts w:ascii="Times New Roman" w:hAnsi="Times New Roman" w:cs="Times New Roman"/>
                <w:sz w:val="24"/>
                <w:szCs w:val="24"/>
              </w:rPr>
              <w:t>182</w:t>
            </w:r>
            <w:r w:rsidR="006F72E5">
              <w:rPr>
                <w:rFonts w:ascii="Times New Roman" w:hAnsi="Times New Roman" w:cs="Times New Roman"/>
                <w:sz w:val="24"/>
                <w:szCs w:val="24"/>
              </w:rPr>
              <w:t xml:space="preserve">% mai </w:t>
            </w:r>
            <w:r w:rsidR="0095662A">
              <w:rPr>
                <w:rFonts w:ascii="Times New Roman" w:hAnsi="Times New Roman" w:cs="Times New Roman"/>
                <w:sz w:val="24"/>
                <w:szCs w:val="24"/>
              </w:rPr>
              <w:t>mult</w:t>
            </w:r>
            <w:r w:rsidR="006F72E5">
              <w:rPr>
                <w:rFonts w:ascii="Times New Roman" w:hAnsi="Times New Roman" w:cs="Times New Roman"/>
                <w:sz w:val="24"/>
                <w:szCs w:val="24"/>
              </w:rPr>
              <w:t xml:space="preserve"> decat cel actual, respectiv 12,7 mld RON. Rezultatele sunt sintetizate si ilustrate in tabelul urmator.</w:t>
            </w:r>
          </w:p>
          <w:p w:rsidR="00E94B90" w:rsidRDefault="00E94B90" w:rsidP="00C71C4C">
            <w:pPr>
              <w:rPr>
                <w:rFonts w:ascii="Times New Roman" w:hAnsi="Times New Roman" w:cs="Times New Roman"/>
                <w:b/>
                <w:sz w:val="24"/>
                <w:szCs w:val="24"/>
              </w:rPr>
            </w:pPr>
          </w:p>
          <w:p w:rsidR="001F1875" w:rsidRDefault="001F1875" w:rsidP="001F1875">
            <w:pPr>
              <w:rPr>
                <w:rFonts w:ascii="Times New Roman" w:hAnsi="Times New Roman" w:cs="Times New Roman"/>
                <w:sz w:val="24"/>
                <w:szCs w:val="24"/>
              </w:rPr>
            </w:pPr>
            <w:r w:rsidRPr="001F1875">
              <w:rPr>
                <w:rFonts w:ascii="Times New Roman" w:hAnsi="Times New Roman" w:cs="Times New Roman"/>
                <w:b/>
                <w:sz w:val="24"/>
                <w:szCs w:val="24"/>
              </w:rPr>
              <w:t>Tabel 10:</w:t>
            </w:r>
            <w:r>
              <w:rPr>
                <w:rFonts w:ascii="Times New Roman" w:hAnsi="Times New Roman" w:cs="Times New Roman"/>
                <w:sz w:val="24"/>
                <w:szCs w:val="24"/>
              </w:rPr>
              <w:t xml:space="preserve"> Impact scenariu impozit 3% pe venitul companiilor</w:t>
            </w:r>
          </w:p>
          <w:tbl>
            <w:tblPr>
              <w:tblW w:w="10550" w:type="dxa"/>
              <w:tblLook w:val="04A0" w:firstRow="1" w:lastRow="0" w:firstColumn="1" w:lastColumn="0" w:noHBand="0" w:noVBand="1"/>
            </w:tblPr>
            <w:tblGrid>
              <w:gridCol w:w="2212"/>
              <w:gridCol w:w="985"/>
              <w:gridCol w:w="891"/>
              <w:gridCol w:w="1007"/>
              <w:gridCol w:w="1001"/>
              <w:gridCol w:w="616"/>
              <w:gridCol w:w="1047"/>
              <w:gridCol w:w="1301"/>
              <w:gridCol w:w="1278"/>
            </w:tblGrid>
            <w:tr w:rsidR="0095662A" w:rsidRPr="0095662A" w:rsidTr="0095662A">
              <w:trPr>
                <w:trHeight w:val="288"/>
              </w:trPr>
              <w:tc>
                <w:tcPr>
                  <w:tcW w:w="2263" w:type="dxa"/>
                  <w:vMerge w:val="restart"/>
                  <w:tcBorders>
                    <w:top w:val="single" w:sz="4" w:space="0" w:color="auto"/>
                    <w:left w:val="single" w:sz="4" w:space="0" w:color="auto"/>
                    <w:bottom w:val="single" w:sz="4" w:space="0" w:color="auto"/>
                    <w:right w:val="single" w:sz="4" w:space="0" w:color="auto"/>
                  </w:tcBorders>
                  <w:shd w:val="clear" w:color="DCE6F1" w:fill="1F497D"/>
                  <w:noWrap/>
                  <w:vAlign w:val="center"/>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 xml:space="preserve">Cifra de Afaceri </w:t>
                  </w:r>
                </w:p>
              </w:tc>
              <w:tc>
                <w:tcPr>
                  <w:tcW w:w="2939" w:type="dxa"/>
                  <w:gridSpan w:val="3"/>
                  <w:tcBorders>
                    <w:top w:val="single" w:sz="4" w:space="0" w:color="auto"/>
                    <w:left w:val="nil"/>
                    <w:bottom w:val="single" w:sz="4" w:space="0" w:color="auto"/>
                    <w:right w:val="single" w:sz="4" w:space="0" w:color="auto"/>
                  </w:tcBorders>
                  <w:shd w:val="clear" w:color="000000" w:fill="1F497D"/>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Impozit 3% Numar</w:t>
                  </w:r>
                </w:p>
              </w:tc>
              <w:tc>
                <w:tcPr>
                  <w:tcW w:w="2715" w:type="dxa"/>
                  <w:gridSpan w:val="3"/>
                  <w:tcBorders>
                    <w:top w:val="single" w:sz="4" w:space="0" w:color="auto"/>
                    <w:left w:val="nil"/>
                    <w:bottom w:val="single" w:sz="4" w:space="0" w:color="auto"/>
                    <w:right w:val="single" w:sz="4" w:space="0" w:color="auto"/>
                  </w:tcBorders>
                  <w:shd w:val="clear" w:color="000000" w:fill="1F497D"/>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Impozit 3% Valoare Impozit (mil RON)</w:t>
                  </w:r>
                </w:p>
              </w:tc>
              <w:tc>
                <w:tcPr>
                  <w:tcW w:w="1328" w:type="dxa"/>
                  <w:vMerge w:val="restart"/>
                  <w:tcBorders>
                    <w:top w:val="nil"/>
                    <w:left w:val="single" w:sz="4" w:space="0" w:color="auto"/>
                    <w:bottom w:val="nil"/>
                    <w:right w:val="nil"/>
                  </w:tcBorders>
                  <w:shd w:val="clear" w:color="000000" w:fill="1F497D"/>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Total Impozit Nou (3%) Cifre Mil RON</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1F497D"/>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Total Impozit Actual Cifre Mil RON</w:t>
                  </w:r>
                </w:p>
              </w:tc>
            </w:tr>
            <w:tr w:rsidR="0095662A" w:rsidRPr="0095662A" w:rsidTr="0095662A">
              <w:trPr>
                <w:trHeight w:val="288"/>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95662A" w:rsidRPr="0095662A" w:rsidRDefault="0095662A" w:rsidP="0095662A">
                  <w:pPr>
                    <w:spacing w:after="0" w:line="240" w:lineRule="auto"/>
                    <w:rPr>
                      <w:rFonts w:ascii="Times New Roman" w:eastAsia="Times New Roman" w:hAnsi="Times New Roman" w:cs="Times New Roman"/>
                      <w:b/>
                      <w:bCs/>
                      <w:color w:val="FFFFFF"/>
                      <w:sz w:val="20"/>
                      <w:szCs w:val="20"/>
                      <w:lang w:eastAsia="ro-RO"/>
                    </w:rPr>
                  </w:pPr>
                </w:p>
              </w:tc>
              <w:tc>
                <w:tcPr>
                  <w:tcW w:w="1004" w:type="dxa"/>
                  <w:tcBorders>
                    <w:top w:val="nil"/>
                    <w:left w:val="nil"/>
                    <w:bottom w:val="single" w:sz="4" w:space="0" w:color="auto"/>
                    <w:right w:val="single" w:sz="4" w:space="0" w:color="auto"/>
                  </w:tcBorders>
                  <w:shd w:val="clear" w:color="DCE6F1" w:fill="1F497D"/>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Inferior</w:t>
                  </w:r>
                </w:p>
              </w:tc>
              <w:tc>
                <w:tcPr>
                  <w:tcW w:w="908" w:type="dxa"/>
                  <w:tcBorders>
                    <w:top w:val="nil"/>
                    <w:left w:val="nil"/>
                    <w:bottom w:val="single" w:sz="4" w:space="0" w:color="auto"/>
                    <w:right w:val="single" w:sz="4" w:space="0" w:color="auto"/>
                  </w:tcBorders>
                  <w:shd w:val="clear" w:color="DCE6F1" w:fill="1F497D"/>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Egal</w:t>
                  </w:r>
                </w:p>
              </w:tc>
              <w:tc>
                <w:tcPr>
                  <w:tcW w:w="1027" w:type="dxa"/>
                  <w:tcBorders>
                    <w:top w:val="nil"/>
                    <w:left w:val="nil"/>
                    <w:bottom w:val="single" w:sz="4" w:space="0" w:color="auto"/>
                    <w:right w:val="single" w:sz="4" w:space="0" w:color="auto"/>
                  </w:tcBorders>
                  <w:shd w:val="clear" w:color="DCE6F1" w:fill="1F497D"/>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Superior</w:t>
                  </w:r>
                </w:p>
              </w:tc>
              <w:tc>
                <w:tcPr>
                  <w:tcW w:w="1021" w:type="dxa"/>
                  <w:tcBorders>
                    <w:top w:val="nil"/>
                    <w:left w:val="nil"/>
                    <w:bottom w:val="nil"/>
                    <w:right w:val="single" w:sz="4" w:space="0" w:color="auto"/>
                  </w:tcBorders>
                  <w:shd w:val="clear" w:color="DCE6F1" w:fill="1F497D"/>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Inferior</w:t>
                  </w:r>
                </w:p>
              </w:tc>
              <w:tc>
                <w:tcPr>
                  <w:tcW w:w="626" w:type="dxa"/>
                  <w:tcBorders>
                    <w:top w:val="nil"/>
                    <w:left w:val="nil"/>
                    <w:bottom w:val="nil"/>
                    <w:right w:val="single" w:sz="4" w:space="0" w:color="auto"/>
                  </w:tcBorders>
                  <w:shd w:val="clear" w:color="DCE6F1" w:fill="1F497D"/>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Egal</w:t>
                  </w:r>
                </w:p>
              </w:tc>
              <w:tc>
                <w:tcPr>
                  <w:tcW w:w="1068" w:type="dxa"/>
                  <w:tcBorders>
                    <w:top w:val="nil"/>
                    <w:left w:val="nil"/>
                    <w:bottom w:val="nil"/>
                    <w:right w:val="single" w:sz="4" w:space="0" w:color="auto"/>
                  </w:tcBorders>
                  <w:shd w:val="clear" w:color="DCE6F1" w:fill="1F497D"/>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FFFFFF"/>
                      <w:sz w:val="20"/>
                      <w:szCs w:val="20"/>
                      <w:lang w:eastAsia="ro-RO"/>
                    </w:rPr>
                  </w:pPr>
                  <w:r w:rsidRPr="0095662A">
                    <w:rPr>
                      <w:rFonts w:ascii="Times New Roman" w:eastAsia="Times New Roman" w:hAnsi="Times New Roman" w:cs="Times New Roman"/>
                      <w:b/>
                      <w:bCs/>
                      <w:color w:val="FFFFFF"/>
                      <w:sz w:val="20"/>
                      <w:szCs w:val="20"/>
                      <w:lang w:eastAsia="ro-RO"/>
                    </w:rPr>
                    <w:t>Superior</w:t>
                  </w:r>
                </w:p>
              </w:tc>
              <w:tc>
                <w:tcPr>
                  <w:tcW w:w="1328" w:type="dxa"/>
                  <w:vMerge/>
                  <w:tcBorders>
                    <w:top w:val="nil"/>
                    <w:left w:val="single" w:sz="4" w:space="0" w:color="auto"/>
                    <w:bottom w:val="nil"/>
                    <w:right w:val="nil"/>
                  </w:tcBorders>
                  <w:vAlign w:val="center"/>
                  <w:hideMark/>
                </w:tcPr>
                <w:p w:rsidR="0095662A" w:rsidRPr="0095662A" w:rsidRDefault="0095662A" w:rsidP="0095662A">
                  <w:pPr>
                    <w:spacing w:after="0" w:line="240" w:lineRule="auto"/>
                    <w:rPr>
                      <w:rFonts w:ascii="Times New Roman" w:eastAsia="Times New Roman" w:hAnsi="Times New Roman" w:cs="Times New Roman"/>
                      <w:b/>
                      <w:bCs/>
                      <w:color w:val="FFFFFF"/>
                      <w:sz w:val="20"/>
                      <w:szCs w:val="20"/>
                      <w:lang w:eastAsia="ro-RO"/>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95662A" w:rsidRPr="0095662A" w:rsidRDefault="0095662A" w:rsidP="0095662A">
                  <w:pPr>
                    <w:spacing w:after="0" w:line="240" w:lineRule="auto"/>
                    <w:rPr>
                      <w:rFonts w:ascii="Times New Roman" w:eastAsia="Times New Roman" w:hAnsi="Times New Roman" w:cs="Times New Roman"/>
                      <w:b/>
                      <w:bCs/>
                      <w:color w:val="FFFFFF"/>
                      <w:sz w:val="20"/>
                      <w:szCs w:val="20"/>
                      <w:lang w:eastAsia="ro-RO"/>
                    </w:rPr>
                  </w:pPr>
                </w:p>
              </w:tc>
            </w:tr>
            <w:tr w:rsidR="0095662A" w:rsidRPr="0095662A" w:rsidTr="0095662A">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Fara Activitate</w:t>
                  </w:r>
                </w:p>
              </w:tc>
              <w:tc>
                <w:tcPr>
                  <w:tcW w:w="1004"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90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179.484</w:t>
                  </w:r>
                </w:p>
              </w:tc>
              <w:tc>
                <w:tcPr>
                  <w:tcW w:w="1027"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1305"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r>
            <w:tr w:rsidR="0095662A" w:rsidRPr="0095662A" w:rsidTr="0095662A">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0 - 500 K EUR</w:t>
                  </w:r>
                </w:p>
              </w:tc>
              <w:tc>
                <w:tcPr>
                  <w:tcW w:w="1004"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90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113.913</w:t>
                  </w:r>
                </w:p>
              </w:tc>
              <w:tc>
                <w:tcPr>
                  <w:tcW w:w="1027"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313.176</w:t>
                  </w:r>
                </w:p>
              </w:tc>
              <w:tc>
                <w:tcPr>
                  <w:tcW w:w="1021"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w:t>
                  </w:r>
                </w:p>
              </w:tc>
              <w:tc>
                <w:tcPr>
                  <w:tcW w:w="626"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391</w:t>
                  </w:r>
                </w:p>
              </w:tc>
              <w:tc>
                <w:tcPr>
                  <w:tcW w:w="106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3.361</w:t>
                  </w:r>
                </w:p>
              </w:tc>
              <w:tc>
                <w:tcPr>
                  <w:tcW w:w="132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3.751</w:t>
                  </w:r>
                </w:p>
              </w:tc>
              <w:tc>
                <w:tcPr>
                  <w:tcW w:w="1305"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1.511</w:t>
                  </w:r>
                </w:p>
              </w:tc>
            </w:tr>
            <w:tr w:rsidR="0095662A" w:rsidRPr="0095662A" w:rsidTr="0095662A">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500 - 1000 K EUR</w:t>
                  </w:r>
                </w:p>
              </w:tc>
              <w:tc>
                <w:tcPr>
                  <w:tcW w:w="1004"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3.078</w:t>
                  </w:r>
                </w:p>
              </w:tc>
              <w:tc>
                <w:tcPr>
                  <w:tcW w:w="90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1027"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16.094</w:t>
                  </w:r>
                </w:p>
              </w:tc>
              <w:tc>
                <w:tcPr>
                  <w:tcW w:w="1021"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286</w:t>
                  </w:r>
                </w:p>
              </w:tc>
              <w:tc>
                <w:tcPr>
                  <w:tcW w:w="626"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w:t>
                  </w:r>
                </w:p>
              </w:tc>
              <w:tc>
                <w:tcPr>
                  <w:tcW w:w="106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1.511</w:t>
                  </w:r>
                </w:p>
              </w:tc>
              <w:tc>
                <w:tcPr>
                  <w:tcW w:w="132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1.797</w:t>
                  </w:r>
                </w:p>
              </w:tc>
              <w:tc>
                <w:tcPr>
                  <w:tcW w:w="1305"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929</w:t>
                  </w:r>
                </w:p>
              </w:tc>
            </w:tr>
            <w:tr w:rsidR="0095662A" w:rsidRPr="0095662A" w:rsidTr="0095662A">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1 - 5 MIL EUR</w:t>
                  </w:r>
                </w:p>
              </w:tc>
              <w:tc>
                <w:tcPr>
                  <w:tcW w:w="1004"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2.584</w:t>
                  </w:r>
                </w:p>
              </w:tc>
              <w:tc>
                <w:tcPr>
                  <w:tcW w:w="90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1027"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16.980</w:t>
                  </w:r>
                </w:p>
              </w:tc>
              <w:tc>
                <w:tcPr>
                  <w:tcW w:w="1021"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684</w:t>
                  </w:r>
                </w:p>
              </w:tc>
              <w:tc>
                <w:tcPr>
                  <w:tcW w:w="626"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w:t>
                  </w:r>
                </w:p>
              </w:tc>
              <w:tc>
                <w:tcPr>
                  <w:tcW w:w="106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4.802</w:t>
                  </w:r>
                </w:p>
              </w:tc>
              <w:tc>
                <w:tcPr>
                  <w:tcW w:w="132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5.486</w:t>
                  </w:r>
                </w:p>
              </w:tc>
              <w:tc>
                <w:tcPr>
                  <w:tcW w:w="1305"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2.511</w:t>
                  </w:r>
                </w:p>
              </w:tc>
            </w:tr>
            <w:tr w:rsidR="0095662A" w:rsidRPr="0095662A" w:rsidTr="0095662A">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5 - 10 MIL EUR</w:t>
                  </w:r>
                </w:p>
              </w:tc>
              <w:tc>
                <w:tcPr>
                  <w:tcW w:w="1004"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284</w:t>
                  </w:r>
                </w:p>
              </w:tc>
              <w:tc>
                <w:tcPr>
                  <w:tcW w:w="90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1027"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2.773</w:t>
                  </w:r>
                </w:p>
              </w:tc>
              <w:tc>
                <w:tcPr>
                  <w:tcW w:w="1021"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262</w:t>
                  </w:r>
                </w:p>
              </w:tc>
              <w:tc>
                <w:tcPr>
                  <w:tcW w:w="626"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w:t>
                  </w:r>
                </w:p>
              </w:tc>
              <w:tc>
                <w:tcPr>
                  <w:tcW w:w="106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2.579</w:t>
                  </w:r>
                </w:p>
              </w:tc>
              <w:tc>
                <w:tcPr>
                  <w:tcW w:w="132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2.842</w:t>
                  </w:r>
                </w:p>
              </w:tc>
              <w:tc>
                <w:tcPr>
                  <w:tcW w:w="1305"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1.088</w:t>
                  </w:r>
                </w:p>
              </w:tc>
            </w:tr>
            <w:tr w:rsidR="0095662A" w:rsidRPr="0095662A" w:rsidTr="0095662A">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10 - 50 MIL EUR</w:t>
                  </w:r>
                </w:p>
              </w:tc>
              <w:tc>
                <w:tcPr>
                  <w:tcW w:w="1004"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171</w:t>
                  </w:r>
                </w:p>
              </w:tc>
              <w:tc>
                <w:tcPr>
                  <w:tcW w:w="90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1027"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2.412</w:t>
                  </w:r>
                </w:p>
              </w:tc>
              <w:tc>
                <w:tcPr>
                  <w:tcW w:w="1021"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447</w:t>
                  </w:r>
                </w:p>
              </w:tc>
              <w:tc>
                <w:tcPr>
                  <w:tcW w:w="626"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w:t>
                  </w:r>
                </w:p>
              </w:tc>
              <w:tc>
                <w:tcPr>
                  <w:tcW w:w="106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6.495</w:t>
                  </w:r>
                </w:p>
              </w:tc>
              <w:tc>
                <w:tcPr>
                  <w:tcW w:w="132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6.941</w:t>
                  </w:r>
                </w:p>
              </w:tc>
              <w:tc>
                <w:tcPr>
                  <w:tcW w:w="1305"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2.236</w:t>
                  </w:r>
                </w:p>
              </w:tc>
            </w:tr>
            <w:tr w:rsidR="0095662A" w:rsidRPr="0095662A" w:rsidTr="0095662A">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50 - 100 MIL EUR</w:t>
                  </w:r>
                </w:p>
              </w:tc>
              <w:tc>
                <w:tcPr>
                  <w:tcW w:w="1004"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16</w:t>
                  </w:r>
                </w:p>
              </w:tc>
              <w:tc>
                <w:tcPr>
                  <w:tcW w:w="90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1027"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272</w:t>
                  </w:r>
                </w:p>
              </w:tc>
              <w:tc>
                <w:tcPr>
                  <w:tcW w:w="1021"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153</w:t>
                  </w:r>
                </w:p>
              </w:tc>
              <w:tc>
                <w:tcPr>
                  <w:tcW w:w="626"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w:t>
                  </w:r>
                </w:p>
              </w:tc>
              <w:tc>
                <w:tcPr>
                  <w:tcW w:w="106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2.484</w:t>
                  </w:r>
                </w:p>
              </w:tc>
              <w:tc>
                <w:tcPr>
                  <w:tcW w:w="132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2.637</w:t>
                  </w:r>
                </w:p>
              </w:tc>
              <w:tc>
                <w:tcPr>
                  <w:tcW w:w="1305"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829</w:t>
                  </w:r>
                </w:p>
              </w:tc>
            </w:tr>
            <w:tr w:rsidR="0095662A" w:rsidRPr="0095662A" w:rsidTr="0095662A">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Peste 100 MIL EUR</w:t>
                  </w:r>
                </w:p>
              </w:tc>
              <w:tc>
                <w:tcPr>
                  <w:tcW w:w="1004"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18</w:t>
                  </w:r>
                </w:p>
              </w:tc>
              <w:tc>
                <w:tcPr>
                  <w:tcW w:w="90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p>
              </w:tc>
              <w:tc>
                <w:tcPr>
                  <w:tcW w:w="1027"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244</w:t>
                  </w:r>
                </w:p>
              </w:tc>
              <w:tc>
                <w:tcPr>
                  <w:tcW w:w="1021"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698</w:t>
                  </w:r>
                </w:p>
              </w:tc>
              <w:tc>
                <w:tcPr>
                  <w:tcW w:w="626"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w:t>
                  </w:r>
                </w:p>
              </w:tc>
              <w:tc>
                <w:tcPr>
                  <w:tcW w:w="106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11.666</w:t>
                  </w:r>
                </w:p>
              </w:tc>
              <w:tc>
                <w:tcPr>
                  <w:tcW w:w="132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12.364</w:t>
                  </w:r>
                </w:p>
              </w:tc>
              <w:tc>
                <w:tcPr>
                  <w:tcW w:w="1305"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color w:val="000000"/>
                      <w:sz w:val="20"/>
                      <w:szCs w:val="20"/>
                      <w:lang w:eastAsia="ro-RO"/>
                    </w:rPr>
                  </w:pPr>
                  <w:r w:rsidRPr="0095662A">
                    <w:rPr>
                      <w:rFonts w:ascii="Times New Roman" w:eastAsia="Times New Roman" w:hAnsi="Times New Roman" w:cs="Times New Roman"/>
                      <w:color w:val="000000"/>
                      <w:sz w:val="20"/>
                      <w:szCs w:val="20"/>
                      <w:lang w:eastAsia="ro-RO"/>
                    </w:rPr>
                    <w:t>3.610</w:t>
                  </w:r>
                </w:p>
              </w:tc>
            </w:tr>
            <w:tr w:rsidR="0095662A" w:rsidRPr="0095662A" w:rsidTr="0095662A">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rPr>
                      <w:rFonts w:ascii="Times New Roman" w:eastAsia="Times New Roman" w:hAnsi="Times New Roman" w:cs="Times New Roman"/>
                      <w:b/>
                      <w:bCs/>
                      <w:color w:val="000000"/>
                      <w:sz w:val="20"/>
                      <w:szCs w:val="20"/>
                      <w:lang w:eastAsia="ro-RO"/>
                    </w:rPr>
                  </w:pPr>
                  <w:r w:rsidRPr="0095662A">
                    <w:rPr>
                      <w:rFonts w:ascii="Times New Roman" w:eastAsia="Times New Roman" w:hAnsi="Times New Roman" w:cs="Times New Roman"/>
                      <w:b/>
                      <w:bCs/>
                      <w:color w:val="000000"/>
                      <w:sz w:val="20"/>
                      <w:szCs w:val="20"/>
                      <w:lang w:eastAsia="ro-RO"/>
                    </w:rPr>
                    <w:t>Total</w:t>
                  </w:r>
                </w:p>
              </w:tc>
              <w:tc>
                <w:tcPr>
                  <w:tcW w:w="1004"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000000"/>
                      <w:sz w:val="20"/>
                      <w:szCs w:val="20"/>
                      <w:lang w:eastAsia="ro-RO"/>
                    </w:rPr>
                  </w:pPr>
                  <w:r w:rsidRPr="0095662A">
                    <w:rPr>
                      <w:rFonts w:ascii="Times New Roman" w:eastAsia="Times New Roman" w:hAnsi="Times New Roman" w:cs="Times New Roman"/>
                      <w:b/>
                      <w:bCs/>
                      <w:color w:val="000000"/>
                      <w:sz w:val="20"/>
                      <w:szCs w:val="20"/>
                      <w:lang w:eastAsia="ro-RO"/>
                    </w:rPr>
                    <w:t>6.151</w:t>
                  </w:r>
                </w:p>
              </w:tc>
              <w:tc>
                <w:tcPr>
                  <w:tcW w:w="90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000000"/>
                      <w:sz w:val="20"/>
                      <w:szCs w:val="20"/>
                      <w:lang w:eastAsia="ro-RO"/>
                    </w:rPr>
                  </w:pPr>
                  <w:r w:rsidRPr="0095662A">
                    <w:rPr>
                      <w:rFonts w:ascii="Times New Roman" w:eastAsia="Times New Roman" w:hAnsi="Times New Roman" w:cs="Times New Roman"/>
                      <w:b/>
                      <w:bCs/>
                      <w:color w:val="000000"/>
                      <w:sz w:val="20"/>
                      <w:szCs w:val="20"/>
                      <w:lang w:eastAsia="ro-RO"/>
                    </w:rPr>
                    <w:t>293.397</w:t>
                  </w:r>
                </w:p>
              </w:tc>
              <w:tc>
                <w:tcPr>
                  <w:tcW w:w="1027"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000000"/>
                      <w:sz w:val="20"/>
                      <w:szCs w:val="20"/>
                      <w:lang w:eastAsia="ro-RO"/>
                    </w:rPr>
                  </w:pPr>
                  <w:r w:rsidRPr="0095662A">
                    <w:rPr>
                      <w:rFonts w:ascii="Times New Roman" w:eastAsia="Times New Roman" w:hAnsi="Times New Roman" w:cs="Times New Roman"/>
                      <w:b/>
                      <w:bCs/>
                      <w:color w:val="000000"/>
                      <w:sz w:val="20"/>
                      <w:szCs w:val="20"/>
                      <w:lang w:eastAsia="ro-RO"/>
                    </w:rPr>
                    <w:t>351.951</w:t>
                  </w:r>
                </w:p>
              </w:tc>
              <w:tc>
                <w:tcPr>
                  <w:tcW w:w="1021"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000000"/>
                      <w:sz w:val="20"/>
                      <w:szCs w:val="20"/>
                      <w:lang w:eastAsia="ro-RO"/>
                    </w:rPr>
                  </w:pPr>
                  <w:r w:rsidRPr="0095662A">
                    <w:rPr>
                      <w:rFonts w:ascii="Times New Roman" w:eastAsia="Times New Roman" w:hAnsi="Times New Roman" w:cs="Times New Roman"/>
                      <w:b/>
                      <w:bCs/>
                      <w:color w:val="000000"/>
                      <w:sz w:val="20"/>
                      <w:szCs w:val="20"/>
                      <w:lang w:eastAsia="ro-RO"/>
                    </w:rPr>
                    <w:t>2.529</w:t>
                  </w:r>
                </w:p>
              </w:tc>
              <w:tc>
                <w:tcPr>
                  <w:tcW w:w="626"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000000"/>
                      <w:sz w:val="20"/>
                      <w:szCs w:val="20"/>
                      <w:lang w:eastAsia="ro-RO"/>
                    </w:rPr>
                  </w:pPr>
                  <w:r w:rsidRPr="0095662A">
                    <w:rPr>
                      <w:rFonts w:ascii="Times New Roman" w:eastAsia="Times New Roman" w:hAnsi="Times New Roman" w:cs="Times New Roman"/>
                      <w:b/>
                      <w:bCs/>
                      <w:color w:val="000000"/>
                      <w:sz w:val="20"/>
                      <w:szCs w:val="20"/>
                      <w:lang w:eastAsia="ro-RO"/>
                    </w:rPr>
                    <w:t>391</w:t>
                  </w:r>
                </w:p>
              </w:tc>
              <w:tc>
                <w:tcPr>
                  <w:tcW w:w="106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000000"/>
                      <w:sz w:val="20"/>
                      <w:szCs w:val="20"/>
                      <w:lang w:eastAsia="ro-RO"/>
                    </w:rPr>
                  </w:pPr>
                  <w:r w:rsidRPr="0095662A">
                    <w:rPr>
                      <w:rFonts w:ascii="Times New Roman" w:eastAsia="Times New Roman" w:hAnsi="Times New Roman" w:cs="Times New Roman"/>
                      <w:b/>
                      <w:bCs/>
                      <w:color w:val="000000"/>
                      <w:sz w:val="20"/>
                      <w:szCs w:val="20"/>
                      <w:lang w:eastAsia="ro-RO"/>
                    </w:rPr>
                    <w:t>32.898</w:t>
                  </w:r>
                </w:p>
              </w:tc>
              <w:tc>
                <w:tcPr>
                  <w:tcW w:w="1328"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000000"/>
                      <w:sz w:val="20"/>
                      <w:szCs w:val="20"/>
                      <w:lang w:eastAsia="ro-RO"/>
                    </w:rPr>
                  </w:pPr>
                  <w:r w:rsidRPr="0095662A">
                    <w:rPr>
                      <w:rFonts w:ascii="Times New Roman" w:eastAsia="Times New Roman" w:hAnsi="Times New Roman" w:cs="Times New Roman"/>
                      <w:b/>
                      <w:bCs/>
                      <w:color w:val="000000"/>
                      <w:sz w:val="20"/>
                      <w:szCs w:val="20"/>
                      <w:lang w:eastAsia="ro-RO"/>
                    </w:rPr>
                    <w:t>35.818</w:t>
                  </w:r>
                </w:p>
              </w:tc>
              <w:tc>
                <w:tcPr>
                  <w:tcW w:w="1305" w:type="dxa"/>
                  <w:tcBorders>
                    <w:top w:val="nil"/>
                    <w:left w:val="nil"/>
                    <w:bottom w:val="single" w:sz="4" w:space="0" w:color="auto"/>
                    <w:right w:val="single" w:sz="4" w:space="0" w:color="auto"/>
                  </w:tcBorders>
                  <w:shd w:val="clear" w:color="auto" w:fill="auto"/>
                  <w:noWrap/>
                  <w:vAlign w:val="bottom"/>
                  <w:hideMark/>
                </w:tcPr>
                <w:p w:rsidR="0095662A" w:rsidRPr="0095662A" w:rsidRDefault="0095662A" w:rsidP="0095662A">
                  <w:pPr>
                    <w:spacing w:after="0" w:line="240" w:lineRule="auto"/>
                    <w:jc w:val="center"/>
                    <w:rPr>
                      <w:rFonts w:ascii="Times New Roman" w:eastAsia="Times New Roman" w:hAnsi="Times New Roman" w:cs="Times New Roman"/>
                      <w:b/>
                      <w:bCs/>
                      <w:color w:val="000000"/>
                      <w:sz w:val="20"/>
                      <w:szCs w:val="20"/>
                      <w:lang w:eastAsia="ro-RO"/>
                    </w:rPr>
                  </w:pPr>
                  <w:r w:rsidRPr="0095662A">
                    <w:rPr>
                      <w:rFonts w:ascii="Times New Roman" w:eastAsia="Times New Roman" w:hAnsi="Times New Roman" w:cs="Times New Roman"/>
                      <w:b/>
                      <w:bCs/>
                      <w:color w:val="000000"/>
                      <w:sz w:val="20"/>
                      <w:szCs w:val="20"/>
                      <w:lang w:eastAsia="ro-RO"/>
                    </w:rPr>
                    <w:t>12.714</w:t>
                  </w:r>
                </w:p>
              </w:tc>
            </w:tr>
          </w:tbl>
          <w:p w:rsidR="001F1875" w:rsidRPr="003D0545" w:rsidRDefault="001F1875" w:rsidP="001F1875">
            <w:pPr>
              <w:rPr>
                <w:rFonts w:ascii="Times New Roman" w:hAnsi="Times New Roman" w:cs="Times New Roman"/>
                <w:i/>
                <w:sz w:val="24"/>
                <w:szCs w:val="24"/>
              </w:rPr>
            </w:pPr>
            <w:r w:rsidRPr="003D0545">
              <w:rPr>
                <w:rFonts w:ascii="Times New Roman" w:hAnsi="Times New Roman" w:cs="Times New Roman"/>
                <w:i/>
                <w:sz w:val="24"/>
                <w:szCs w:val="24"/>
              </w:rPr>
              <w:t>Sursa: MFP, date prelucrate autor</w:t>
            </w:r>
          </w:p>
          <w:p w:rsidR="00E94B90" w:rsidRDefault="00E94B90" w:rsidP="00C71C4C">
            <w:pPr>
              <w:rPr>
                <w:rFonts w:ascii="Times New Roman" w:hAnsi="Times New Roman" w:cs="Times New Roman"/>
                <w:b/>
                <w:sz w:val="24"/>
                <w:szCs w:val="24"/>
              </w:rPr>
            </w:pPr>
          </w:p>
          <w:p w:rsidR="0095662A" w:rsidRDefault="0095662A" w:rsidP="00C71C4C">
            <w:pPr>
              <w:rPr>
                <w:rFonts w:ascii="Times New Roman" w:hAnsi="Times New Roman" w:cs="Times New Roman"/>
                <w:b/>
                <w:sz w:val="24"/>
                <w:szCs w:val="24"/>
              </w:rPr>
            </w:pPr>
            <w:r>
              <w:rPr>
                <w:rFonts w:ascii="Times New Roman" w:hAnsi="Times New Roman" w:cs="Times New Roman"/>
                <w:b/>
                <w:sz w:val="24"/>
                <w:szCs w:val="24"/>
              </w:rPr>
              <w:t>In toate cele trei scenarii, companiile mari (care inregistreaza venituri peste 1 mil EUR) vo</w:t>
            </w:r>
            <w:r w:rsidR="003038F3">
              <w:rPr>
                <w:rFonts w:ascii="Times New Roman" w:hAnsi="Times New Roman" w:cs="Times New Roman"/>
                <w:b/>
                <w:sz w:val="24"/>
                <w:szCs w:val="24"/>
              </w:rPr>
              <w:t xml:space="preserve">r avea cel mai mult de suferit, iar aproape </w:t>
            </w:r>
            <w:r>
              <w:rPr>
                <w:rFonts w:ascii="Times New Roman" w:hAnsi="Times New Roman" w:cs="Times New Roman"/>
                <w:b/>
                <w:sz w:val="24"/>
                <w:szCs w:val="24"/>
              </w:rPr>
              <w:t xml:space="preserve">60% dintre acestea sunt companii cu actionariat strain! Cifrele din tabelul urmator sintetizeaza numarul si nivelul total al impozitelor pe care aceste companii le platesc in </w:t>
            </w:r>
            <w:r w:rsidR="00D12CF7">
              <w:rPr>
                <w:rFonts w:ascii="Times New Roman" w:hAnsi="Times New Roman" w:cs="Times New Roman"/>
                <w:b/>
                <w:sz w:val="24"/>
                <w:szCs w:val="24"/>
              </w:rPr>
              <w:t xml:space="preserve">momentul de fata, comparativ cu cele trei scenarii simulate anterior. </w:t>
            </w:r>
          </w:p>
          <w:p w:rsidR="00EB7A0A" w:rsidRDefault="00EB7A0A" w:rsidP="00C71C4C">
            <w:pPr>
              <w:rPr>
                <w:rFonts w:ascii="Times New Roman" w:hAnsi="Times New Roman" w:cs="Times New Roman"/>
                <w:b/>
                <w:sz w:val="24"/>
                <w:szCs w:val="24"/>
              </w:rPr>
            </w:pPr>
          </w:p>
          <w:p w:rsidR="00A47298" w:rsidRPr="00A47298" w:rsidRDefault="00A47298" w:rsidP="00C71C4C">
            <w:pPr>
              <w:rPr>
                <w:rFonts w:ascii="Times New Roman" w:hAnsi="Times New Roman" w:cs="Times New Roman"/>
                <w:sz w:val="24"/>
                <w:szCs w:val="24"/>
              </w:rPr>
            </w:pPr>
            <w:r>
              <w:rPr>
                <w:rFonts w:ascii="Times New Roman" w:hAnsi="Times New Roman" w:cs="Times New Roman"/>
                <w:b/>
                <w:sz w:val="24"/>
                <w:szCs w:val="24"/>
              </w:rPr>
              <w:t xml:space="preserve">Tabel 11: </w:t>
            </w:r>
            <w:r>
              <w:rPr>
                <w:rFonts w:ascii="Times New Roman" w:hAnsi="Times New Roman" w:cs="Times New Roman"/>
                <w:sz w:val="24"/>
                <w:szCs w:val="24"/>
              </w:rPr>
              <w:t>Impact im</w:t>
            </w:r>
            <w:r w:rsidR="00AD0997">
              <w:rPr>
                <w:rFonts w:ascii="Times New Roman" w:hAnsi="Times New Roman" w:cs="Times New Roman"/>
                <w:sz w:val="24"/>
                <w:szCs w:val="24"/>
              </w:rPr>
              <w:t>pozit pe venitul companiilor cu cifra de afaceri &gt; 1mil EUR</w:t>
            </w:r>
          </w:p>
          <w:tbl>
            <w:tblPr>
              <w:tblW w:w="9918" w:type="dxa"/>
              <w:tblLook w:val="04A0" w:firstRow="1" w:lastRow="0" w:firstColumn="1" w:lastColumn="0" w:noHBand="0" w:noVBand="1"/>
            </w:tblPr>
            <w:tblGrid>
              <w:gridCol w:w="2385"/>
              <w:gridCol w:w="1092"/>
              <w:gridCol w:w="1338"/>
              <w:gridCol w:w="1417"/>
              <w:gridCol w:w="1418"/>
              <w:gridCol w:w="2268"/>
            </w:tblGrid>
            <w:tr w:rsidR="00A47298" w:rsidRPr="00A47298" w:rsidTr="00A47298">
              <w:trPr>
                <w:trHeight w:val="288"/>
              </w:trPr>
              <w:tc>
                <w:tcPr>
                  <w:tcW w:w="2385"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A47298" w:rsidRPr="00A47298" w:rsidRDefault="00A47298" w:rsidP="00A47298">
                  <w:pPr>
                    <w:spacing w:after="0" w:line="240" w:lineRule="auto"/>
                    <w:rPr>
                      <w:rFonts w:ascii="Calibri" w:eastAsia="Times New Roman" w:hAnsi="Calibri" w:cs="Times New Roman"/>
                      <w:b/>
                      <w:bCs/>
                      <w:color w:val="FFFFFF"/>
                      <w:lang w:eastAsia="ro-RO"/>
                    </w:rPr>
                  </w:pPr>
                  <w:r w:rsidRPr="00A47298">
                    <w:rPr>
                      <w:rFonts w:ascii="Calibri" w:eastAsia="Times New Roman" w:hAnsi="Calibri" w:cs="Times New Roman"/>
                      <w:b/>
                      <w:bCs/>
                      <w:color w:val="FFFFFF"/>
                      <w:lang w:eastAsia="ro-RO"/>
                    </w:rPr>
                    <w:t>Cifra de afaceri</w:t>
                  </w:r>
                </w:p>
              </w:tc>
              <w:tc>
                <w:tcPr>
                  <w:tcW w:w="1092" w:type="dxa"/>
                  <w:tcBorders>
                    <w:top w:val="single" w:sz="4" w:space="0" w:color="auto"/>
                    <w:left w:val="nil"/>
                    <w:bottom w:val="single" w:sz="4" w:space="0" w:color="auto"/>
                    <w:right w:val="single" w:sz="4" w:space="0" w:color="auto"/>
                  </w:tcBorders>
                  <w:shd w:val="clear" w:color="000000" w:fill="1F497D"/>
                  <w:noWrap/>
                  <w:vAlign w:val="bottom"/>
                  <w:hideMark/>
                </w:tcPr>
                <w:p w:rsidR="00A47298" w:rsidRPr="00A47298" w:rsidRDefault="00A47298" w:rsidP="00A47298">
                  <w:pPr>
                    <w:spacing w:after="0" w:line="240" w:lineRule="auto"/>
                    <w:jc w:val="center"/>
                    <w:rPr>
                      <w:rFonts w:ascii="Calibri" w:eastAsia="Times New Roman" w:hAnsi="Calibri" w:cs="Times New Roman"/>
                      <w:b/>
                      <w:bCs/>
                      <w:color w:val="FFFFFF"/>
                      <w:lang w:eastAsia="ro-RO"/>
                    </w:rPr>
                  </w:pPr>
                  <w:r w:rsidRPr="00A47298">
                    <w:rPr>
                      <w:rFonts w:ascii="Calibri" w:eastAsia="Times New Roman" w:hAnsi="Calibri" w:cs="Times New Roman"/>
                      <w:b/>
                      <w:bCs/>
                      <w:color w:val="FFFFFF"/>
                      <w:lang w:eastAsia="ro-RO"/>
                    </w:rPr>
                    <w:t xml:space="preserve">Numar </w:t>
                  </w:r>
                </w:p>
              </w:tc>
              <w:tc>
                <w:tcPr>
                  <w:tcW w:w="1338" w:type="dxa"/>
                  <w:tcBorders>
                    <w:top w:val="single" w:sz="4" w:space="0" w:color="auto"/>
                    <w:left w:val="nil"/>
                    <w:bottom w:val="single" w:sz="4" w:space="0" w:color="auto"/>
                    <w:right w:val="single" w:sz="4" w:space="0" w:color="auto"/>
                  </w:tcBorders>
                  <w:shd w:val="clear" w:color="000000" w:fill="1F497D"/>
                  <w:noWrap/>
                  <w:vAlign w:val="bottom"/>
                  <w:hideMark/>
                </w:tcPr>
                <w:p w:rsidR="00A47298" w:rsidRPr="00A47298" w:rsidRDefault="00A47298" w:rsidP="00A47298">
                  <w:pPr>
                    <w:spacing w:after="0" w:line="240" w:lineRule="auto"/>
                    <w:jc w:val="center"/>
                    <w:rPr>
                      <w:rFonts w:ascii="Calibri" w:eastAsia="Times New Roman" w:hAnsi="Calibri" w:cs="Times New Roman"/>
                      <w:b/>
                      <w:bCs/>
                      <w:color w:val="FFFFFF"/>
                      <w:lang w:eastAsia="ro-RO"/>
                    </w:rPr>
                  </w:pPr>
                  <w:r>
                    <w:rPr>
                      <w:rFonts w:ascii="Calibri" w:eastAsia="Times New Roman" w:hAnsi="Calibri" w:cs="Times New Roman"/>
                      <w:b/>
                      <w:bCs/>
                      <w:color w:val="FFFFFF"/>
                      <w:lang w:eastAsia="ro-RO"/>
                    </w:rPr>
                    <w:t>I</w:t>
                  </w:r>
                  <w:r w:rsidRPr="00A47298">
                    <w:rPr>
                      <w:rFonts w:ascii="Calibri" w:eastAsia="Times New Roman" w:hAnsi="Calibri" w:cs="Times New Roman"/>
                      <w:b/>
                      <w:bCs/>
                      <w:color w:val="FFFFFF"/>
                      <w:lang w:eastAsia="ro-RO"/>
                    </w:rPr>
                    <w:t>mpozit 1%</w:t>
                  </w:r>
                </w:p>
              </w:tc>
              <w:tc>
                <w:tcPr>
                  <w:tcW w:w="1417" w:type="dxa"/>
                  <w:tcBorders>
                    <w:top w:val="single" w:sz="4" w:space="0" w:color="auto"/>
                    <w:left w:val="nil"/>
                    <w:bottom w:val="single" w:sz="4" w:space="0" w:color="auto"/>
                    <w:right w:val="single" w:sz="4" w:space="0" w:color="auto"/>
                  </w:tcBorders>
                  <w:shd w:val="clear" w:color="000000" w:fill="1F497D"/>
                  <w:noWrap/>
                  <w:vAlign w:val="bottom"/>
                  <w:hideMark/>
                </w:tcPr>
                <w:p w:rsidR="00A47298" w:rsidRPr="00A47298" w:rsidRDefault="00A47298" w:rsidP="00A47298">
                  <w:pPr>
                    <w:spacing w:after="0" w:line="240" w:lineRule="auto"/>
                    <w:jc w:val="center"/>
                    <w:rPr>
                      <w:rFonts w:ascii="Calibri" w:eastAsia="Times New Roman" w:hAnsi="Calibri" w:cs="Times New Roman"/>
                      <w:b/>
                      <w:bCs/>
                      <w:color w:val="FFFFFF"/>
                      <w:lang w:eastAsia="ro-RO"/>
                    </w:rPr>
                  </w:pPr>
                  <w:r>
                    <w:rPr>
                      <w:rFonts w:ascii="Calibri" w:eastAsia="Times New Roman" w:hAnsi="Calibri" w:cs="Times New Roman"/>
                      <w:b/>
                      <w:bCs/>
                      <w:color w:val="FFFFFF"/>
                      <w:lang w:eastAsia="ro-RO"/>
                    </w:rPr>
                    <w:t>I</w:t>
                  </w:r>
                  <w:r w:rsidRPr="00A47298">
                    <w:rPr>
                      <w:rFonts w:ascii="Calibri" w:eastAsia="Times New Roman" w:hAnsi="Calibri" w:cs="Times New Roman"/>
                      <w:b/>
                      <w:bCs/>
                      <w:color w:val="FFFFFF"/>
                      <w:lang w:eastAsia="ro-RO"/>
                    </w:rPr>
                    <w:t>mpozit 2%</w:t>
                  </w:r>
                </w:p>
              </w:tc>
              <w:tc>
                <w:tcPr>
                  <w:tcW w:w="1418" w:type="dxa"/>
                  <w:tcBorders>
                    <w:top w:val="single" w:sz="4" w:space="0" w:color="auto"/>
                    <w:left w:val="nil"/>
                    <w:bottom w:val="single" w:sz="4" w:space="0" w:color="auto"/>
                    <w:right w:val="single" w:sz="4" w:space="0" w:color="auto"/>
                  </w:tcBorders>
                  <w:shd w:val="clear" w:color="000000" w:fill="1F497D"/>
                  <w:noWrap/>
                  <w:vAlign w:val="bottom"/>
                  <w:hideMark/>
                </w:tcPr>
                <w:p w:rsidR="00A47298" w:rsidRPr="00A47298" w:rsidRDefault="00A47298" w:rsidP="00A47298">
                  <w:pPr>
                    <w:spacing w:after="0" w:line="240" w:lineRule="auto"/>
                    <w:jc w:val="center"/>
                    <w:rPr>
                      <w:rFonts w:ascii="Calibri" w:eastAsia="Times New Roman" w:hAnsi="Calibri" w:cs="Times New Roman"/>
                      <w:b/>
                      <w:bCs/>
                      <w:color w:val="FFFFFF"/>
                      <w:lang w:eastAsia="ro-RO"/>
                    </w:rPr>
                  </w:pPr>
                  <w:r>
                    <w:rPr>
                      <w:rFonts w:ascii="Calibri" w:eastAsia="Times New Roman" w:hAnsi="Calibri" w:cs="Times New Roman"/>
                      <w:b/>
                      <w:bCs/>
                      <w:color w:val="FFFFFF"/>
                      <w:lang w:eastAsia="ro-RO"/>
                    </w:rPr>
                    <w:t>I</w:t>
                  </w:r>
                  <w:r w:rsidRPr="00A47298">
                    <w:rPr>
                      <w:rFonts w:ascii="Calibri" w:eastAsia="Times New Roman" w:hAnsi="Calibri" w:cs="Times New Roman"/>
                      <w:b/>
                      <w:bCs/>
                      <w:color w:val="FFFFFF"/>
                      <w:lang w:eastAsia="ro-RO"/>
                    </w:rPr>
                    <w:t>mpozit 3%</w:t>
                  </w:r>
                </w:p>
              </w:tc>
              <w:tc>
                <w:tcPr>
                  <w:tcW w:w="2268" w:type="dxa"/>
                  <w:tcBorders>
                    <w:top w:val="single" w:sz="4" w:space="0" w:color="auto"/>
                    <w:left w:val="nil"/>
                    <w:bottom w:val="single" w:sz="4" w:space="0" w:color="auto"/>
                    <w:right w:val="single" w:sz="4" w:space="0" w:color="auto"/>
                  </w:tcBorders>
                  <w:shd w:val="clear" w:color="000000" w:fill="1F497D"/>
                  <w:noWrap/>
                  <w:vAlign w:val="bottom"/>
                  <w:hideMark/>
                </w:tcPr>
                <w:p w:rsidR="00A47298" w:rsidRPr="00A47298" w:rsidRDefault="00A47298" w:rsidP="00A47298">
                  <w:pPr>
                    <w:spacing w:after="0" w:line="240" w:lineRule="auto"/>
                    <w:jc w:val="center"/>
                    <w:rPr>
                      <w:rFonts w:ascii="Calibri" w:eastAsia="Times New Roman" w:hAnsi="Calibri" w:cs="Times New Roman"/>
                      <w:b/>
                      <w:bCs/>
                      <w:color w:val="FFFFFF"/>
                      <w:lang w:eastAsia="ro-RO"/>
                    </w:rPr>
                  </w:pPr>
                  <w:r w:rsidRPr="00A47298">
                    <w:rPr>
                      <w:rFonts w:ascii="Calibri" w:eastAsia="Times New Roman" w:hAnsi="Calibri" w:cs="Times New Roman"/>
                      <w:b/>
                      <w:bCs/>
                      <w:color w:val="FFFFFF"/>
                      <w:lang w:eastAsia="ro-RO"/>
                    </w:rPr>
                    <w:t>Total impozit actual</w:t>
                  </w:r>
                </w:p>
              </w:tc>
            </w:tr>
            <w:tr w:rsidR="00A47298" w:rsidRPr="00A47298" w:rsidTr="00A47298">
              <w:trPr>
                <w:trHeight w:val="288"/>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4. 1 - 5 MIL EUR</w:t>
                  </w:r>
                </w:p>
              </w:tc>
              <w:tc>
                <w:tcPr>
                  <w:tcW w:w="1092"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19.564 </w:t>
                  </w:r>
                </w:p>
              </w:tc>
              <w:tc>
                <w:tcPr>
                  <w:tcW w:w="133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1.829 </w:t>
                  </w:r>
                </w:p>
              </w:tc>
              <w:tc>
                <w:tcPr>
                  <w:tcW w:w="1417"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3.658 </w:t>
                  </w:r>
                </w:p>
              </w:tc>
              <w:tc>
                <w:tcPr>
                  <w:tcW w:w="141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5.486 </w:t>
                  </w:r>
                </w:p>
              </w:tc>
              <w:tc>
                <w:tcPr>
                  <w:tcW w:w="226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2.511 </w:t>
                  </w:r>
                </w:p>
              </w:tc>
            </w:tr>
            <w:tr w:rsidR="00A47298" w:rsidRPr="00A47298" w:rsidTr="00A47298">
              <w:trPr>
                <w:trHeight w:val="288"/>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5. 5 - 10 MIL EUR</w:t>
                  </w:r>
                </w:p>
              </w:tc>
              <w:tc>
                <w:tcPr>
                  <w:tcW w:w="1092"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3.057 </w:t>
                  </w:r>
                </w:p>
              </w:tc>
              <w:tc>
                <w:tcPr>
                  <w:tcW w:w="133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947 </w:t>
                  </w:r>
                </w:p>
              </w:tc>
              <w:tc>
                <w:tcPr>
                  <w:tcW w:w="1417"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1.894 </w:t>
                  </w:r>
                </w:p>
              </w:tc>
              <w:tc>
                <w:tcPr>
                  <w:tcW w:w="141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2.842 </w:t>
                  </w:r>
                </w:p>
              </w:tc>
              <w:tc>
                <w:tcPr>
                  <w:tcW w:w="226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1.088 </w:t>
                  </w:r>
                </w:p>
              </w:tc>
            </w:tr>
            <w:tr w:rsidR="00A47298" w:rsidRPr="00A47298" w:rsidTr="00A47298">
              <w:trPr>
                <w:trHeight w:val="288"/>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6. 10 - 50 MIL EUR</w:t>
                  </w:r>
                </w:p>
              </w:tc>
              <w:tc>
                <w:tcPr>
                  <w:tcW w:w="1092"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2.583 </w:t>
                  </w:r>
                </w:p>
              </w:tc>
              <w:tc>
                <w:tcPr>
                  <w:tcW w:w="133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2.314 </w:t>
                  </w:r>
                </w:p>
              </w:tc>
              <w:tc>
                <w:tcPr>
                  <w:tcW w:w="1417"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4.628 </w:t>
                  </w:r>
                </w:p>
              </w:tc>
              <w:tc>
                <w:tcPr>
                  <w:tcW w:w="141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6.941 </w:t>
                  </w:r>
                </w:p>
              </w:tc>
              <w:tc>
                <w:tcPr>
                  <w:tcW w:w="226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2.236 </w:t>
                  </w:r>
                </w:p>
              </w:tc>
            </w:tr>
            <w:tr w:rsidR="00A47298" w:rsidRPr="00A47298" w:rsidTr="00A47298">
              <w:trPr>
                <w:trHeight w:val="288"/>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7. 50 - 100 MIL EUR</w:t>
                  </w:r>
                </w:p>
              </w:tc>
              <w:tc>
                <w:tcPr>
                  <w:tcW w:w="1092"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288 </w:t>
                  </w:r>
                </w:p>
              </w:tc>
              <w:tc>
                <w:tcPr>
                  <w:tcW w:w="133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879 </w:t>
                  </w:r>
                </w:p>
              </w:tc>
              <w:tc>
                <w:tcPr>
                  <w:tcW w:w="1417"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1.758 </w:t>
                  </w:r>
                </w:p>
              </w:tc>
              <w:tc>
                <w:tcPr>
                  <w:tcW w:w="141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2.637 </w:t>
                  </w:r>
                </w:p>
              </w:tc>
              <w:tc>
                <w:tcPr>
                  <w:tcW w:w="226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829 </w:t>
                  </w:r>
                </w:p>
              </w:tc>
            </w:tr>
            <w:tr w:rsidR="00A47298" w:rsidRPr="00A47298" w:rsidTr="00A47298">
              <w:trPr>
                <w:trHeight w:val="288"/>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8. Peste 100 MIL EUR</w:t>
                  </w:r>
                </w:p>
              </w:tc>
              <w:tc>
                <w:tcPr>
                  <w:tcW w:w="1092"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262 </w:t>
                  </w:r>
                </w:p>
              </w:tc>
              <w:tc>
                <w:tcPr>
                  <w:tcW w:w="133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4.121 </w:t>
                  </w:r>
                </w:p>
              </w:tc>
              <w:tc>
                <w:tcPr>
                  <w:tcW w:w="1417"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8.242 </w:t>
                  </w:r>
                </w:p>
              </w:tc>
              <w:tc>
                <w:tcPr>
                  <w:tcW w:w="141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12.364 </w:t>
                  </w:r>
                </w:p>
              </w:tc>
              <w:tc>
                <w:tcPr>
                  <w:tcW w:w="226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3.610 </w:t>
                  </w:r>
                </w:p>
              </w:tc>
            </w:tr>
            <w:tr w:rsidR="00A47298" w:rsidRPr="00A47298" w:rsidTr="00A47298">
              <w:trPr>
                <w:trHeight w:val="288"/>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Total</w:t>
                  </w:r>
                </w:p>
              </w:tc>
              <w:tc>
                <w:tcPr>
                  <w:tcW w:w="1092"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25.754 </w:t>
                  </w:r>
                </w:p>
              </w:tc>
              <w:tc>
                <w:tcPr>
                  <w:tcW w:w="133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10.090 </w:t>
                  </w:r>
                </w:p>
              </w:tc>
              <w:tc>
                <w:tcPr>
                  <w:tcW w:w="1417"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20.180 </w:t>
                  </w:r>
                </w:p>
              </w:tc>
              <w:tc>
                <w:tcPr>
                  <w:tcW w:w="141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30.270 </w:t>
                  </w:r>
                </w:p>
              </w:tc>
              <w:tc>
                <w:tcPr>
                  <w:tcW w:w="2268" w:type="dxa"/>
                  <w:tcBorders>
                    <w:top w:val="nil"/>
                    <w:left w:val="nil"/>
                    <w:bottom w:val="single" w:sz="4" w:space="0" w:color="auto"/>
                    <w:right w:val="single" w:sz="4" w:space="0" w:color="auto"/>
                  </w:tcBorders>
                  <w:shd w:val="clear" w:color="auto" w:fill="auto"/>
                  <w:noWrap/>
                  <w:vAlign w:val="bottom"/>
                  <w:hideMark/>
                </w:tcPr>
                <w:p w:rsidR="00A47298" w:rsidRPr="00A47298" w:rsidRDefault="00A47298" w:rsidP="00A47298">
                  <w:pPr>
                    <w:spacing w:after="0" w:line="240" w:lineRule="auto"/>
                    <w:jc w:val="center"/>
                    <w:rPr>
                      <w:rFonts w:ascii="Calibri" w:eastAsia="Times New Roman" w:hAnsi="Calibri" w:cs="Times New Roman"/>
                      <w:color w:val="000000"/>
                      <w:lang w:eastAsia="ro-RO"/>
                    </w:rPr>
                  </w:pPr>
                  <w:r w:rsidRPr="00A47298">
                    <w:rPr>
                      <w:rFonts w:ascii="Calibri" w:eastAsia="Times New Roman" w:hAnsi="Calibri" w:cs="Times New Roman"/>
                      <w:color w:val="000000"/>
                      <w:lang w:eastAsia="ro-RO"/>
                    </w:rPr>
                    <w:t xml:space="preserve">10.274 </w:t>
                  </w:r>
                </w:p>
              </w:tc>
            </w:tr>
          </w:tbl>
          <w:p w:rsidR="00AD0997" w:rsidRPr="003D0545" w:rsidRDefault="00AD0997" w:rsidP="00AD0997">
            <w:pPr>
              <w:rPr>
                <w:rFonts w:ascii="Times New Roman" w:hAnsi="Times New Roman" w:cs="Times New Roman"/>
                <w:i/>
                <w:sz w:val="24"/>
                <w:szCs w:val="24"/>
              </w:rPr>
            </w:pPr>
            <w:r w:rsidRPr="003D0545">
              <w:rPr>
                <w:rFonts w:ascii="Times New Roman" w:hAnsi="Times New Roman" w:cs="Times New Roman"/>
                <w:i/>
                <w:sz w:val="24"/>
                <w:szCs w:val="24"/>
              </w:rPr>
              <w:t>Sursa: MFP, date prelucrate autor</w:t>
            </w:r>
          </w:p>
          <w:p w:rsidR="00C71C4C" w:rsidRDefault="00C71C4C" w:rsidP="00715E44">
            <w:pPr>
              <w:rPr>
                <w:rFonts w:ascii="Times New Roman" w:hAnsi="Times New Roman" w:cs="Times New Roman"/>
                <w:sz w:val="24"/>
                <w:szCs w:val="24"/>
              </w:rPr>
            </w:pPr>
          </w:p>
          <w:p w:rsidR="00D84B0F" w:rsidRDefault="00D84B0F" w:rsidP="00715E44">
            <w:pPr>
              <w:rPr>
                <w:rFonts w:ascii="Times New Roman" w:hAnsi="Times New Roman" w:cs="Times New Roman"/>
                <w:b/>
                <w:color w:val="FF0000"/>
                <w:sz w:val="24"/>
                <w:szCs w:val="24"/>
              </w:rPr>
            </w:pPr>
            <w:r w:rsidRPr="00D84B0F">
              <w:rPr>
                <w:rFonts w:ascii="Times New Roman" w:hAnsi="Times New Roman" w:cs="Times New Roman"/>
                <w:b/>
                <w:color w:val="FF0000"/>
                <w:sz w:val="24"/>
                <w:szCs w:val="24"/>
              </w:rPr>
              <w:t>Care sunt cele mai afectate</w:t>
            </w:r>
            <w:r w:rsidR="007535C0">
              <w:rPr>
                <w:rFonts w:ascii="Times New Roman" w:hAnsi="Times New Roman" w:cs="Times New Roman"/>
                <w:b/>
                <w:color w:val="FF0000"/>
                <w:sz w:val="24"/>
                <w:szCs w:val="24"/>
              </w:rPr>
              <w:t xml:space="preserve"> sectoare</w:t>
            </w:r>
            <w:r w:rsidRPr="00D84B0F">
              <w:rPr>
                <w:rFonts w:ascii="Times New Roman" w:hAnsi="Times New Roman" w:cs="Times New Roman"/>
                <w:b/>
                <w:color w:val="FF0000"/>
                <w:sz w:val="24"/>
                <w:szCs w:val="24"/>
              </w:rPr>
              <w:t xml:space="preserve">? </w:t>
            </w:r>
          </w:p>
          <w:p w:rsidR="007535C0" w:rsidRPr="00D84B0F" w:rsidRDefault="007535C0" w:rsidP="00715E44">
            <w:pPr>
              <w:rPr>
                <w:rFonts w:ascii="Times New Roman" w:hAnsi="Times New Roman" w:cs="Times New Roman"/>
                <w:b/>
                <w:color w:val="FF0000"/>
                <w:sz w:val="24"/>
                <w:szCs w:val="24"/>
              </w:rPr>
            </w:pPr>
          </w:p>
          <w:p w:rsidR="002366FA" w:rsidRDefault="00A83CE8" w:rsidP="00F9705E">
            <w:pPr>
              <w:jc w:val="both"/>
              <w:rPr>
                <w:rFonts w:ascii="Times New Roman" w:hAnsi="Times New Roman" w:cs="Times New Roman"/>
                <w:sz w:val="24"/>
                <w:szCs w:val="24"/>
              </w:rPr>
            </w:pPr>
            <w:r>
              <w:rPr>
                <w:rFonts w:ascii="Times New Roman" w:hAnsi="Times New Roman" w:cs="Times New Roman"/>
                <w:sz w:val="24"/>
                <w:szCs w:val="24"/>
              </w:rPr>
              <w:t xml:space="preserve">Deoarece la data realizarii prezentului studiu de impact (3 Iulie 2017), opinia publica nu a fost informata cu privire la criteriile in functie de care se vor aplica </w:t>
            </w:r>
            <w:r w:rsidRPr="004373A4">
              <w:rPr>
                <w:rFonts w:ascii="Times New Roman" w:hAnsi="Times New Roman" w:cs="Times New Roman"/>
                <w:sz w:val="24"/>
                <w:szCs w:val="24"/>
              </w:rPr>
              <w:t xml:space="preserve">treptele de impozitare </w:t>
            </w:r>
            <w:r>
              <w:rPr>
                <w:rFonts w:ascii="Times New Roman" w:hAnsi="Times New Roman" w:cs="Times New Roman"/>
                <w:sz w:val="24"/>
                <w:szCs w:val="24"/>
              </w:rPr>
              <w:t>(</w:t>
            </w:r>
            <w:r w:rsidRPr="004373A4">
              <w:rPr>
                <w:rFonts w:ascii="Times New Roman" w:hAnsi="Times New Roman" w:cs="Times New Roman"/>
                <w:sz w:val="24"/>
                <w:szCs w:val="24"/>
              </w:rPr>
              <w:t>1%, 2% și 3% pe cifra de afaceri</w:t>
            </w:r>
            <w:r>
              <w:rPr>
                <w:rFonts w:ascii="Times New Roman" w:hAnsi="Times New Roman" w:cs="Times New Roman"/>
                <w:sz w:val="24"/>
                <w:szCs w:val="24"/>
              </w:rPr>
              <w:t>), gradul de povara fiscala in noul context a fost calculat ca medie aritmetica a celor trei scenarii, si a fost raportat la nivelul actual al impozitelor platite (raportul dintre acestea este prezentat</w:t>
            </w:r>
            <w:r w:rsidR="00F82DD6">
              <w:rPr>
                <w:rFonts w:ascii="Times New Roman" w:hAnsi="Times New Roman" w:cs="Times New Roman"/>
                <w:sz w:val="24"/>
                <w:szCs w:val="24"/>
              </w:rPr>
              <w:t xml:space="preserve"> in ultima coloana din dreapta a </w:t>
            </w:r>
            <w:r>
              <w:rPr>
                <w:rFonts w:ascii="Times New Roman" w:hAnsi="Times New Roman" w:cs="Times New Roman"/>
                <w:sz w:val="24"/>
                <w:szCs w:val="24"/>
              </w:rPr>
              <w:t xml:space="preserve">tabelului 12). </w:t>
            </w:r>
          </w:p>
          <w:p w:rsidR="002366FA" w:rsidRDefault="002366FA" w:rsidP="00F9705E">
            <w:pPr>
              <w:jc w:val="both"/>
              <w:rPr>
                <w:rFonts w:ascii="Times New Roman" w:hAnsi="Times New Roman" w:cs="Times New Roman"/>
                <w:sz w:val="24"/>
                <w:szCs w:val="24"/>
              </w:rPr>
            </w:pPr>
          </w:p>
          <w:p w:rsidR="00D84B0F" w:rsidRDefault="00A83CE8" w:rsidP="00F9705E">
            <w:pPr>
              <w:jc w:val="both"/>
              <w:rPr>
                <w:rFonts w:ascii="Times New Roman" w:hAnsi="Times New Roman" w:cs="Times New Roman"/>
                <w:sz w:val="24"/>
                <w:szCs w:val="24"/>
              </w:rPr>
            </w:pPr>
            <w:r>
              <w:rPr>
                <w:rFonts w:ascii="Times New Roman" w:hAnsi="Times New Roman" w:cs="Times New Roman"/>
                <w:sz w:val="24"/>
                <w:szCs w:val="24"/>
              </w:rPr>
              <w:t>Analizand cifrele din tabelul urmator, observam faptul ca i</w:t>
            </w:r>
            <w:r w:rsidR="00BE2E0A">
              <w:rPr>
                <w:rFonts w:ascii="Times New Roman" w:hAnsi="Times New Roman" w:cs="Times New Roman"/>
                <w:sz w:val="24"/>
                <w:szCs w:val="24"/>
              </w:rPr>
              <w:t>mpactul difera semnificativ de la un sector la altul in functie de doua variabile importante: nivelul veniturilor (rulajele) si al profiturilor (marginile) obtinute. Astfel, sectorul distributiei s</w:t>
            </w:r>
            <w:r w:rsidR="00F82DD6">
              <w:rPr>
                <w:rFonts w:ascii="Times New Roman" w:hAnsi="Times New Roman" w:cs="Times New Roman"/>
                <w:sz w:val="24"/>
                <w:szCs w:val="24"/>
              </w:rPr>
              <w:t>i al</w:t>
            </w:r>
            <w:r w:rsidR="00BE2E0A">
              <w:rPr>
                <w:rFonts w:ascii="Times New Roman" w:hAnsi="Times New Roman" w:cs="Times New Roman"/>
                <w:sz w:val="24"/>
                <w:szCs w:val="24"/>
              </w:rPr>
              <w:t xml:space="preserve"> vanzari</w:t>
            </w:r>
            <w:r w:rsidR="00F82DD6">
              <w:rPr>
                <w:rFonts w:ascii="Times New Roman" w:hAnsi="Times New Roman" w:cs="Times New Roman"/>
                <w:sz w:val="24"/>
                <w:szCs w:val="24"/>
              </w:rPr>
              <w:t>lor</w:t>
            </w:r>
            <w:r w:rsidR="00BE2E0A">
              <w:rPr>
                <w:rFonts w:ascii="Times New Roman" w:hAnsi="Times New Roman" w:cs="Times New Roman"/>
                <w:sz w:val="24"/>
                <w:szCs w:val="24"/>
              </w:rPr>
              <w:t xml:space="preserve"> cu amanuntul inregistreaza traditional rulaje mari cuplate cu margini</w:t>
            </w:r>
            <w:r w:rsidR="00F82DD6">
              <w:rPr>
                <w:rFonts w:ascii="Times New Roman" w:hAnsi="Times New Roman" w:cs="Times New Roman"/>
                <w:sz w:val="24"/>
                <w:szCs w:val="24"/>
              </w:rPr>
              <w:t xml:space="preserve"> de profit</w:t>
            </w:r>
            <w:r w:rsidR="00BE2E0A">
              <w:rPr>
                <w:rFonts w:ascii="Times New Roman" w:hAnsi="Times New Roman" w:cs="Times New Roman"/>
                <w:sz w:val="24"/>
                <w:szCs w:val="24"/>
              </w:rPr>
              <w:t xml:space="preserve"> mai scazute. In acest context, aceste sectoare sunt cel</w:t>
            </w:r>
            <w:r>
              <w:rPr>
                <w:rFonts w:ascii="Times New Roman" w:hAnsi="Times New Roman" w:cs="Times New Roman"/>
                <w:sz w:val="24"/>
                <w:szCs w:val="24"/>
              </w:rPr>
              <w:t xml:space="preserve">e mai afectate de noile masuri, povara fiscala in masura in care noile norme vor fi aplicate ajungand de aproape trei ori mai mare decat cea actuala. In general, cele mai putin afectate sectoare sunt cele de prestare ale serviciilor, intermedieri sau productie, unde nivelul veniturilor este mai mic in timp ce marginile de profitabilitate sunt mai mari. </w:t>
            </w:r>
            <w:r w:rsidR="00F0716D">
              <w:rPr>
                <w:rFonts w:ascii="Times New Roman" w:hAnsi="Times New Roman" w:cs="Times New Roman"/>
                <w:sz w:val="24"/>
                <w:szCs w:val="24"/>
              </w:rPr>
              <w:t>Doar doua sectoare vor inregistra un nivel mediu al impozitarii inferior celui actual, respectiv sanatate si asistenta sociala (-6%) si tranzactiile imobilizare (-27%).</w:t>
            </w:r>
          </w:p>
          <w:p w:rsidR="007670DE" w:rsidRDefault="007670DE" w:rsidP="00F9705E">
            <w:pPr>
              <w:jc w:val="both"/>
              <w:rPr>
                <w:rFonts w:ascii="Times New Roman" w:hAnsi="Times New Roman" w:cs="Times New Roman"/>
                <w:sz w:val="24"/>
                <w:szCs w:val="24"/>
              </w:rPr>
            </w:pPr>
            <w:r w:rsidRPr="002C447B">
              <w:rPr>
                <w:rFonts w:ascii="Times New Roman" w:hAnsi="Times New Roman" w:cs="Times New Roman"/>
                <w:b/>
                <w:sz w:val="24"/>
                <w:szCs w:val="24"/>
              </w:rPr>
              <w:lastRenderedPageBreak/>
              <w:t>Tabel 12</w:t>
            </w:r>
            <w:r>
              <w:rPr>
                <w:rFonts w:ascii="Times New Roman" w:hAnsi="Times New Roman" w:cs="Times New Roman"/>
                <w:sz w:val="24"/>
                <w:szCs w:val="24"/>
              </w:rPr>
              <w:t xml:space="preserve">: Impact impozit pe venitul companiilor </w:t>
            </w:r>
            <w:r w:rsidR="00BE2E0A">
              <w:rPr>
                <w:rFonts w:ascii="Times New Roman" w:hAnsi="Times New Roman" w:cs="Times New Roman"/>
                <w:sz w:val="24"/>
                <w:szCs w:val="24"/>
              </w:rPr>
              <w:t xml:space="preserve">la nivel sectorial </w:t>
            </w:r>
          </w:p>
          <w:tbl>
            <w:tblPr>
              <w:tblW w:w="10451" w:type="dxa"/>
              <w:tblLook w:val="04A0" w:firstRow="1" w:lastRow="0" w:firstColumn="1" w:lastColumn="0" w:noHBand="0" w:noVBand="1"/>
            </w:tblPr>
            <w:tblGrid>
              <w:gridCol w:w="4703"/>
              <w:gridCol w:w="1022"/>
              <w:gridCol w:w="995"/>
              <w:gridCol w:w="995"/>
              <w:gridCol w:w="974"/>
              <w:gridCol w:w="1649"/>
            </w:tblGrid>
            <w:tr w:rsidR="00BE2E0A" w:rsidRPr="00BE2E0A" w:rsidTr="00BE2E0A">
              <w:trPr>
                <w:trHeight w:val="480"/>
              </w:trPr>
              <w:tc>
                <w:tcPr>
                  <w:tcW w:w="4759" w:type="dxa"/>
                  <w:tcBorders>
                    <w:top w:val="single" w:sz="4" w:space="0" w:color="auto"/>
                    <w:left w:val="single" w:sz="4" w:space="0" w:color="auto"/>
                    <w:bottom w:val="single" w:sz="4" w:space="0" w:color="auto"/>
                    <w:right w:val="single" w:sz="4" w:space="0" w:color="auto"/>
                  </w:tcBorders>
                  <w:shd w:val="clear" w:color="DCE6F1" w:fill="1F497D"/>
                  <w:vAlign w:val="center"/>
                  <w:hideMark/>
                </w:tcPr>
                <w:p w:rsidR="00BE2E0A" w:rsidRPr="00BE2E0A" w:rsidRDefault="00BE2E0A" w:rsidP="00BE2E0A">
                  <w:pPr>
                    <w:spacing w:after="0" w:line="240" w:lineRule="auto"/>
                    <w:jc w:val="center"/>
                    <w:rPr>
                      <w:rFonts w:ascii="Times New Roman" w:eastAsia="Times New Roman" w:hAnsi="Times New Roman" w:cs="Times New Roman"/>
                      <w:b/>
                      <w:bCs/>
                      <w:color w:val="FFFFFF"/>
                      <w:sz w:val="20"/>
                      <w:szCs w:val="20"/>
                      <w:lang w:eastAsia="ro-RO"/>
                    </w:rPr>
                  </w:pPr>
                  <w:r w:rsidRPr="00BE2E0A">
                    <w:rPr>
                      <w:rFonts w:ascii="Times New Roman" w:eastAsia="Times New Roman" w:hAnsi="Times New Roman" w:cs="Times New Roman"/>
                      <w:b/>
                      <w:bCs/>
                      <w:color w:val="FFFFFF"/>
                      <w:sz w:val="20"/>
                      <w:szCs w:val="20"/>
                      <w:lang w:eastAsia="ro-RO"/>
                    </w:rPr>
                    <w:t>Sectorul de activitate (cifre in mil RON)</w:t>
                  </w:r>
                </w:p>
              </w:tc>
              <w:tc>
                <w:tcPr>
                  <w:tcW w:w="1032" w:type="dxa"/>
                  <w:tcBorders>
                    <w:top w:val="single" w:sz="4" w:space="0" w:color="auto"/>
                    <w:left w:val="nil"/>
                    <w:bottom w:val="single" w:sz="4" w:space="0" w:color="auto"/>
                    <w:right w:val="single" w:sz="4" w:space="0" w:color="auto"/>
                  </w:tcBorders>
                  <w:shd w:val="clear" w:color="DCE6F1" w:fill="1F497D"/>
                  <w:vAlign w:val="center"/>
                  <w:hideMark/>
                </w:tcPr>
                <w:p w:rsidR="00BE2E0A" w:rsidRPr="00BE2E0A" w:rsidRDefault="00BE2E0A" w:rsidP="00BE2E0A">
                  <w:pPr>
                    <w:spacing w:after="0" w:line="240" w:lineRule="auto"/>
                    <w:jc w:val="center"/>
                    <w:rPr>
                      <w:rFonts w:ascii="Times New Roman" w:eastAsia="Times New Roman" w:hAnsi="Times New Roman" w:cs="Times New Roman"/>
                      <w:b/>
                      <w:bCs/>
                      <w:color w:val="FFFFFF"/>
                      <w:sz w:val="20"/>
                      <w:szCs w:val="20"/>
                      <w:lang w:eastAsia="ro-RO"/>
                    </w:rPr>
                  </w:pPr>
                  <w:r w:rsidRPr="00BE2E0A">
                    <w:rPr>
                      <w:rFonts w:ascii="Times New Roman" w:eastAsia="Times New Roman" w:hAnsi="Times New Roman" w:cs="Times New Roman"/>
                      <w:b/>
                      <w:bCs/>
                      <w:color w:val="FFFFFF"/>
                      <w:sz w:val="20"/>
                      <w:szCs w:val="20"/>
                      <w:lang w:eastAsia="ro-RO"/>
                    </w:rPr>
                    <w:t>Impozit actual</w:t>
                  </w:r>
                </w:p>
              </w:tc>
              <w:tc>
                <w:tcPr>
                  <w:tcW w:w="1005" w:type="dxa"/>
                  <w:tcBorders>
                    <w:top w:val="single" w:sz="4" w:space="0" w:color="auto"/>
                    <w:left w:val="nil"/>
                    <w:bottom w:val="single" w:sz="4" w:space="0" w:color="auto"/>
                    <w:right w:val="single" w:sz="4" w:space="0" w:color="auto"/>
                  </w:tcBorders>
                  <w:shd w:val="clear" w:color="DCE6F1" w:fill="1F497D"/>
                  <w:vAlign w:val="center"/>
                  <w:hideMark/>
                </w:tcPr>
                <w:p w:rsidR="00BE2E0A" w:rsidRPr="00BE2E0A" w:rsidRDefault="00BE2E0A" w:rsidP="00BE2E0A">
                  <w:pPr>
                    <w:spacing w:after="0" w:line="240" w:lineRule="auto"/>
                    <w:jc w:val="center"/>
                    <w:rPr>
                      <w:rFonts w:ascii="Times New Roman" w:eastAsia="Times New Roman" w:hAnsi="Times New Roman" w:cs="Times New Roman"/>
                      <w:b/>
                      <w:bCs/>
                      <w:color w:val="FFFFFF"/>
                      <w:sz w:val="20"/>
                      <w:szCs w:val="20"/>
                      <w:lang w:eastAsia="ro-RO"/>
                    </w:rPr>
                  </w:pPr>
                  <w:r w:rsidRPr="00BE2E0A">
                    <w:rPr>
                      <w:rFonts w:ascii="Times New Roman" w:eastAsia="Times New Roman" w:hAnsi="Times New Roman" w:cs="Times New Roman"/>
                      <w:b/>
                      <w:bCs/>
                      <w:color w:val="FFFFFF"/>
                      <w:sz w:val="20"/>
                      <w:szCs w:val="20"/>
                      <w:lang w:eastAsia="ro-RO"/>
                    </w:rPr>
                    <w:t>Impozit 1%</w:t>
                  </w:r>
                </w:p>
              </w:tc>
              <w:tc>
                <w:tcPr>
                  <w:tcW w:w="1005" w:type="dxa"/>
                  <w:tcBorders>
                    <w:top w:val="single" w:sz="4" w:space="0" w:color="auto"/>
                    <w:left w:val="nil"/>
                    <w:bottom w:val="single" w:sz="4" w:space="0" w:color="auto"/>
                    <w:right w:val="single" w:sz="4" w:space="0" w:color="auto"/>
                  </w:tcBorders>
                  <w:shd w:val="clear" w:color="DCE6F1" w:fill="1F497D"/>
                  <w:vAlign w:val="center"/>
                  <w:hideMark/>
                </w:tcPr>
                <w:p w:rsidR="00BE2E0A" w:rsidRPr="00BE2E0A" w:rsidRDefault="00BE2E0A" w:rsidP="00BE2E0A">
                  <w:pPr>
                    <w:spacing w:after="0" w:line="240" w:lineRule="auto"/>
                    <w:jc w:val="center"/>
                    <w:rPr>
                      <w:rFonts w:ascii="Times New Roman" w:eastAsia="Times New Roman" w:hAnsi="Times New Roman" w:cs="Times New Roman"/>
                      <w:b/>
                      <w:bCs/>
                      <w:color w:val="FFFFFF"/>
                      <w:sz w:val="20"/>
                      <w:szCs w:val="20"/>
                      <w:lang w:eastAsia="ro-RO"/>
                    </w:rPr>
                  </w:pPr>
                  <w:r w:rsidRPr="00BE2E0A">
                    <w:rPr>
                      <w:rFonts w:ascii="Times New Roman" w:eastAsia="Times New Roman" w:hAnsi="Times New Roman" w:cs="Times New Roman"/>
                      <w:b/>
                      <w:bCs/>
                      <w:color w:val="FFFFFF"/>
                      <w:sz w:val="20"/>
                      <w:szCs w:val="20"/>
                      <w:lang w:eastAsia="ro-RO"/>
                    </w:rPr>
                    <w:t>Impozit 2%</w:t>
                  </w:r>
                </w:p>
              </w:tc>
              <w:tc>
                <w:tcPr>
                  <w:tcW w:w="983" w:type="dxa"/>
                  <w:tcBorders>
                    <w:top w:val="single" w:sz="4" w:space="0" w:color="auto"/>
                    <w:left w:val="nil"/>
                    <w:bottom w:val="single" w:sz="4" w:space="0" w:color="auto"/>
                    <w:right w:val="single" w:sz="4" w:space="0" w:color="auto"/>
                  </w:tcBorders>
                  <w:shd w:val="clear" w:color="DCE6F1" w:fill="1F497D"/>
                  <w:vAlign w:val="center"/>
                  <w:hideMark/>
                </w:tcPr>
                <w:p w:rsidR="00BE2E0A" w:rsidRPr="00BE2E0A" w:rsidRDefault="00BE2E0A" w:rsidP="00BE2E0A">
                  <w:pPr>
                    <w:spacing w:after="0" w:line="240" w:lineRule="auto"/>
                    <w:jc w:val="center"/>
                    <w:rPr>
                      <w:rFonts w:ascii="Times New Roman" w:eastAsia="Times New Roman" w:hAnsi="Times New Roman" w:cs="Times New Roman"/>
                      <w:b/>
                      <w:bCs/>
                      <w:color w:val="FFFFFF"/>
                      <w:sz w:val="20"/>
                      <w:szCs w:val="20"/>
                      <w:lang w:eastAsia="ro-RO"/>
                    </w:rPr>
                  </w:pPr>
                  <w:r w:rsidRPr="00BE2E0A">
                    <w:rPr>
                      <w:rFonts w:ascii="Times New Roman" w:eastAsia="Times New Roman" w:hAnsi="Times New Roman" w:cs="Times New Roman"/>
                      <w:b/>
                      <w:bCs/>
                      <w:color w:val="FFFFFF"/>
                      <w:sz w:val="20"/>
                      <w:szCs w:val="20"/>
                      <w:lang w:eastAsia="ro-RO"/>
                    </w:rPr>
                    <w:t>Impozit 3%</w:t>
                  </w:r>
                </w:p>
              </w:tc>
              <w:tc>
                <w:tcPr>
                  <w:tcW w:w="1667" w:type="dxa"/>
                  <w:tcBorders>
                    <w:top w:val="single" w:sz="4" w:space="0" w:color="auto"/>
                    <w:left w:val="nil"/>
                    <w:bottom w:val="single" w:sz="4" w:space="0" w:color="auto"/>
                    <w:right w:val="single" w:sz="4" w:space="0" w:color="auto"/>
                  </w:tcBorders>
                  <w:shd w:val="clear" w:color="DCE6F1" w:fill="1F497D"/>
                  <w:vAlign w:val="center"/>
                  <w:hideMark/>
                </w:tcPr>
                <w:p w:rsidR="00BE2E0A" w:rsidRPr="00BE2E0A" w:rsidRDefault="00BE2E0A" w:rsidP="00BE2E0A">
                  <w:pPr>
                    <w:spacing w:after="0" w:line="240" w:lineRule="auto"/>
                    <w:jc w:val="center"/>
                    <w:rPr>
                      <w:rFonts w:ascii="Times New Roman" w:eastAsia="Times New Roman" w:hAnsi="Times New Roman" w:cs="Times New Roman"/>
                      <w:b/>
                      <w:bCs/>
                      <w:color w:val="FFFFFF"/>
                      <w:sz w:val="20"/>
                      <w:szCs w:val="20"/>
                      <w:lang w:eastAsia="ro-RO"/>
                    </w:rPr>
                  </w:pPr>
                  <w:r w:rsidRPr="00BE2E0A">
                    <w:rPr>
                      <w:rFonts w:ascii="Times New Roman" w:eastAsia="Times New Roman" w:hAnsi="Times New Roman" w:cs="Times New Roman"/>
                      <w:b/>
                      <w:bCs/>
                      <w:color w:val="FFFFFF"/>
                      <w:sz w:val="20"/>
                      <w:szCs w:val="20"/>
                      <w:lang w:eastAsia="ro-RO"/>
                    </w:rPr>
                    <w:t>Impozit Mediu (3 scenarii) : Impozit actual</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Comert cu ridicata si distributie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2.082</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2.886</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5.771</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8.657</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2,77</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Comert cu amanuntul</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1.211</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1.636</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3.273</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4.909</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2,70</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Posta si telecomunicatii</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179</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233</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466</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700</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2,60</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Industria de masini si echipamente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840</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991</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1.981</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2.972</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2,36</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Industria alimentara si a bauturilor</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464</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536</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1.072</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1.608</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F82DD6" w:rsidRDefault="00BE2E0A" w:rsidP="00BE2E0A">
                  <w:pPr>
                    <w:spacing w:after="0" w:line="240" w:lineRule="auto"/>
                    <w:jc w:val="center"/>
                    <w:rPr>
                      <w:rFonts w:ascii="Times New Roman" w:eastAsia="Times New Roman" w:hAnsi="Times New Roman" w:cs="Times New Roman"/>
                      <w:color w:val="FF0000"/>
                      <w:sz w:val="20"/>
                      <w:szCs w:val="20"/>
                      <w:lang w:eastAsia="ro-RO"/>
                    </w:rPr>
                  </w:pPr>
                  <w:r w:rsidRPr="00F82DD6">
                    <w:rPr>
                      <w:rFonts w:ascii="Times New Roman" w:eastAsia="Times New Roman" w:hAnsi="Times New Roman" w:cs="Times New Roman"/>
                      <w:color w:val="FF0000"/>
                      <w:sz w:val="20"/>
                      <w:szCs w:val="20"/>
                      <w:lang w:eastAsia="ro-RO"/>
                    </w:rPr>
                    <w:t>2,31</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Fabricarea produselor textile, a articolelor de imbracaminte si incaltaminte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223</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211</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421</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632</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1,89</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Industria metalurgica</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501</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472</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945</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1.417</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1,89</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Fabricarea lemnului si a produselor din lemn</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374</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342</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684</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1.025</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1,83</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Alte activitati de servicii personale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84</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70</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139</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209</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1,65</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Transporturi</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828</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673</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1.346</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2.019</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1,63</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Productia si furnizarea de energie electrica si termica, apa si gaze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773</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601</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1.203</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1.804</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1,56</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Industria extractiva</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323</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245</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490</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735</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1,52</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Hoteluri si restaurante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261</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193</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386</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579</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1,48</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Agricultura</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512</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370</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741</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1.111</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1,45</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IT</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393</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281</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563</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844</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1,43</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Constructii</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1.082</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765</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1.531</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2.296</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1,41</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Activitati recreative, culturale si sportive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162</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112</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225</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337</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1,39</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Asanarea si indepartarea gunoaielor; salubritate si activitati similare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192</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127</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255</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382</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1,33</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Alte activitati de servicii prestate in principal intreprinderilor</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735</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456</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912</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1.368</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1,24</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Intermedieri financiare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98</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55</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109</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164</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1,12</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Fabricarea substantelor si produselor chimice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926</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493</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987</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1.480</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1,07</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Sanatate si asistenta sociala</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173</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82</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163</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245</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0,94</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Tranzactii imobiliare</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297</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109</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218</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326</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color w:val="000000"/>
                      <w:sz w:val="20"/>
                      <w:szCs w:val="20"/>
                      <w:lang w:eastAsia="ro-RO"/>
                    </w:rPr>
                  </w:pPr>
                  <w:r w:rsidRPr="00BE2E0A">
                    <w:rPr>
                      <w:rFonts w:ascii="Times New Roman" w:eastAsia="Times New Roman" w:hAnsi="Times New Roman" w:cs="Times New Roman"/>
                      <w:color w:val="000000"/>
                      <w:sz w:val="20"/>
                      <w:szCs w:val="20"/>
                      <w:lang w:eastAsia="ro-RO"/>
                    </w:rPr>
                    <w:t>0,73</w:t>
                  </w:r>
                </w:p>
              </w:tc>
            </w:tr>
            <w:tr w:rsidR="00BE2E0A" w:rsidRPr="00BE2E0A" w:rsidTr="00BE2E0A">
              <w:trPr>
                <w:trHeight w:val="288"/>
              </w:trPr>
              <w:tc>
                <w:tcPr>
                  <w:tcW w:w="4759" w:type="dxa"/>
                  <w:tcBorders>
                    <w:top w:val="nil"/>
                    <w:left w:val="single" w:sz="4" w:space="0" w:color="auto"/>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rPr>
                      <w:rFonts w:ascii="Times New Roman" w:eastAsia="Times New Roman" w:hAnsi="Times New Roman" w:cs="Times New Roman"/>
                      <w:b/>
                      <w:bCs/>
                      <w:color w:val="000000"/>
                      <w:sz w:val="20"/>
                      <w:szCs w:val="20"/>
                      <w:lang w:eastAsia="ro-RO"/>
                    </w:rPr>
                  </w:pPr>
                  <w:r w:rsidRPr="00BE2E0A">
                    <w:rPr>
                      <w:rFonts w:ascii="Times New Roman" w:eastAsia="Times New Roman" w:hAnsi="Times New Roman" w:cs="Times New Roman"/>
                      <w:b/>
                      <w:bCs/>
                      <w:color w:val="000000"/>
                      <w:sz w:val="20"/>
                      <w:szCs w:val="20"/>
                      <w:lang w:eastAsia="ro-RO"/>
                    </w:rPr>
                    <w:t>Total</w:t>
                  </w:r>
                </w:p>
              </w:tc>
              <w:tc>
                <w:tcPr>
                  <w:tcW w:w="1032"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b/>
                      <w:bCs/>
                      <w:color w:val="000000"/>
                      <w:sz w:val="20"/>
                      <w:szCs w:val="20"/>
                      <w:lang w:eastAsia="ro-RO"/>
                    </w:rPr>
                  </w:pPr>
                  <w:r w:rsidRPr="00BE2E0A">
                    <w:rPr>
                      <w:rFonts w:ascii="Times New Roman" w:eastAsia="Times New Roman" w:hAnsi="Times New Roman" w:cs="Times New Roman"/>
                      <w:b/>
                      <w:bCs/>
                      <w:color w:val="000000"/>
                      <w:sz w:val="20"/>
                      <w:szCs w:val="20"/>
                      <w:lang w:eastAsia="ro-RO"/>
                    </w:rPr>
                    <w:t>12.714</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b/>
                      <w:bCs/>
                      <w:color w:val="000000"/>
                      <w:sz w:val="20"/>
                      <w:szCs w:val="20"/>
                      <w:lang w:eastAsia="ro-RO"/>
                    </w:rPr>
                  </w:pPr>
                  <w:r w:rsidRPr="00BE2E0A">
                    <w:rPr>
                      <w:rFonts w:ascii="Times New Roman" w:eastAsia="Times New Roman" w:hAnsi="Times New Roman" w:cs="Times New Roman"/>
                      <w:b/>
                      <w:bCs/>
                      <w:color w:val="000000"/>
                      <w:sz w:val="20"/>
                      <w:szCs w:val="20"/>
                      <w:lang w:eastAsia="ro-RO"/>
                    </w:rPr>
                    <w:t>11.939</w:t>
                  </w:r>
                </w:p>
              </w:tc>
              <w:tc>
                <w:tcPr>
                  <w:tcW w:w="1005"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b/>
                      <w:bCs/>
                      <w:color w:val="000000"/>
                      <w:sz w:val="20"/>
                      <w:szCs w:val="20"/>
                      <w:lang w:eastAsia="ro-RO"/>
                    </w:rPr>
                  </w:pPr>
                  <w:r w:rsidRPr="00BE2E0A">
                    <w:rPr>
                      <w:rFonts w:ascii="Times New Roman" w:eastAsia="Times New Roman" w:hAnsi="Times New Roman" w:cs="Times New Roman"/>
                      <w:b/>
                      <w:bCs/>
                      <w:color w:val="000000"/>
                      <w:sz w:val="20"/>
                      <w:szCs w:val="20"/>
                      <w:lang w:eastAsia="ro-RO"/>
                    </w:rPr>
                    <w:t>23.879</w:t>
                  </w:r>
                </w:p>
              </w:tc>
              <w:tc>
                <w:tcPr>
                  <w:tcW w:w="983"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b/>
                      <w:bCs/>
                      <w:color w:val="000000"/>
                      <w:sz w:val="20"/>
                      <w:szCs w:val="20"/>
                      <w:lang w:eastAsia="ro-RO"/>
                    </w:rPr>
                  </w:pPr>
                  <w:r w:rsidRPr="00BE2E0A">
                    <w:rPr>
                      <w:rFonts w:ascii="Times New Roman" w:eastAsia="Times New Roman" w:hAnsi="Times New Roman" w:cs="Times New Roman"/>
                      <w:b/>
                      <w:bCs/>
                      <w:color w:val="000000"/>
                      <w:sz w:val="20"/>
                      <w:szCs w:val="20"/>
                      <w:lang w:eastAsia="ro-RO"/>
                    </w:rPr>
                    <w:t>35.818</w:t>
                  </w:r>
                </w:p>
              </w:tc>
              <w:tc>
                <w:tcPr>
                  <w:tcW w:w="1667" w:type="dxa"/>
                  <w:tcBorders>
                    <w:top w:val="nil"/>
                    <w:left w:val="nil"/>
                    <w:bottom w:val="single" w:sz="4" w:space="0" w:color="auto"/>
                    <w:right w:val="single" w:sz="4" w:space="0" w:color="auto"/>
                  </w:tcBorders>
                  <w:shd w:val="clear" w:color="auto" w:fill="auto"/>
                  <w:noWrap/>
                  <w:vAlign w:val="bottom"/>
                  <w:hideMark/>
                </w:tcPr>
                <w:p w:rsidR="00BE2E0A" w:rsidRPr="00BE2E0A" w:rsidRDefault="00BE2E0A" w:rsidP="00BE2E0A">
                  <w:pPr>
                    <w:spacing w:after="0" w:line="240" w:lineRule="auto"/>
                    <w:jc w:val="center"/>
                    <w:rPr>
                      <w:rFonts w:ascii="Times New Roman" w:eastAsia="Times New Roman" w:hAnsi="Times New Roman" w:cs="Times New Roman"/>
                      <w:b/>
                      <w:bCs/>
                      <w:color w:val="000000"/>
                      <w:sz w:val="20"/>
                      <w:szCs w:val="20"/>
                      <w:lang w:eastAsia="ro-RO"/>
                    </w:rPr>
                  </w:pPr>
                  <w:r w:rsidRPr="00BE2E0A">
                    <w:rPr>
                      <w:rFonts w:ascii="Times New Roman" w:eastAsia="Times New Roman" w:hAnsi="Times New Roman" w:cs="Times New Roman"/>
                      <w:b/>
                      <w:bCs/>
                      <w:color w:val="000000"/>
                      <w:sz w:val="20"/>
                      <w:szCs w:val="20"/>
                      <w:lang w:eastAsia="ro-RO"/>
                    </w:rPr>
                    <w:t>1,88</w:t>
                  </w:r>
                </w:p>
              </w:tc>
            </w:tr>
          </w:tbl>
          <w:p w:rsidR="002C447B" w:rsidRPr="002C447B" w:rsidRDefault="002C447B" w:rsidP="002C447B">
            <w:pPr>
              <w:rPr>
                <w:rFonts w:ascii="Times New Roman" w:hAnsi="Times New Roman" w:cs="Times New Roman"/>
                <w:i/>
                <w:sz w:val="24"/>
                <w:szCs w:val="24"/>
              </w:rPr>
            </w:pPr>
            <w:r w:rsidRPr="003D0545">
              <w:rPr>
                <w:rFonts w:ascii="Times New Roman" w:hAnsi="Times New Roman" w:cs="Times New Roman"/>
                <w:i/>
                <w:sz w:val="24"/>
                <w:szCs w:val="24"/>
              </w:rPr>
              <w:t>Sursa: MFP, date prelucrate autor</w:t>
            </w:r>
          </w:p>
        </w:tc>
      </w:tr>
      <w:tr w:rsidR="00930C8D" w:rsidRPr="00131E28" w:rsidTr="004A6091">
        <w:tc>
          <w:tcPr>
            <w:tcW w:w="10564" w:type="dxa"/>
            <w:gridSpan w:val="3"/>
          </w:tcPr>
          <w:p w:rsidR="00930C8D" w:rsidRPr="00131E28" w:rsidRDefault="00930C8D" w:rsidP="008B40D6">
            <w:pPr>
              <w:rPr>
                <w:rFonts w:ascii="Times New Roman" w:hAnsi="Times New Roman" w:cs="Times New Roman"/>
                <w:sz w:val="24"/>
                <w:szCs w:val="24"/>
              </w:rPr>
            </w:pPr>
          </w:p>
        </w:tc>
      </w:tr>
      <w:tr w:rsidR="00930C8D" w:rsidRPr="00131E28" w:rsidTr="004A6091">
        <w:tc>
          <w:tcPr>
            <w:tcW w:w="10564" w:type="dxa"/>
            <w:gridSpan w:val="3"/>
          </w:tcPr>
          <w:p w:rsidR="00930C8D" w:rsidRPr="007379A4" w:rsidRDefault="00930C8D" w:rsidP="008B40D6">
            <w:pPr>
              <w:rPr>
                <w:rFonts w:ascii="Times New Roman" w:hAnsi="Times New Roman" w:cs="Times New Roman"/>
                <w:b/>
                <w:color w:val="FF0000"/>
                <w:sz w:val="28"/>
                <w:szCs w:val="24"/>
              </w:rPr>
            </w:pPr>
            <w:r w:rsidRPr="007379A4">
              <w:rPr>
                <w:rFonts w:ascii="Times New Roman" w:hAnsi="Times New Roman" w:cs="Times New Roman"/>
                <w:b/>
                <w:color w:val="FF0000"/>
                <w:sz w:val="28"/>
                <w:szCs w:val="24"/>
              </w:rPr>
              <w:t xml:space="preserve">D. Optiuni pentru companii </w:t>
            </w:r>
          </w:p>
          <w:p w:rsidR="00930C8D" w:rsidRDefault="00930C8D" w:rsidP="008B40D6">
            <w:pPr>
              <w:rPr>
                <w:rFonts w:ascii="Times New Roman" w:hAnsi="Times New Roman" w:cs="Times New Roman"/>
                <w:sz w:val="24"/>
                <w:szCs w:val="24"/>
              </w:rPr>
            </w:pPr>
          </w:p>
          <w:p w:rsidR="002366FA" w:rsidRDefault="002366FA" w:rsidP="002366FA">
            <w:pPr>
              <w:jc w:val="both"/>
              <w:rPr>
                <w:rFonts w:ascii="Times New Roman" w:hAnsi="Times New Roman" w:cs="Times New Roman"/>
                <w:sz w:val="24"/>
                <w:szCs w:val="24"/>
              </w:rPr>
            </w:pPr>
            <w:r>
              <w:rPr>
                <w:rFonts w:ascii="Times New Roman" w:hAnsi="Times New Roman" w:cs="Times New Roman"/>
                <w:sz w:val="24"/>
                <w:szCs w:val="24"/>
              </w:rPr>
              <w:t xml:space="preserve">Gradul de povara fiscala in noul context a fost calculat ca medie aritmetica a celor trei scenarii, acesta fiind in crestere pentru 53% dintre companiile care activeaza in Romania. Practic, </w:t>
            </w:r>
            <w:r w:rsidRPr="005222F8">
              <w:rPr>
                <w:rFonts w:ascii="Times New Roman" w:hAnsi="Times New Roman" w:cs="Times New Roman"/>
                <w:b/>
                <w:sz w:val="24"/>
                <w:szCs w:val="24"/>
              </w:rPr>
              <w:t>sub auspiciile actuale, si avand in vedere ipotezele prezentului studiu de impact, aproape jumatate din firmele active in Romania sunt expuse unor impozite in crestere incepand cu anul 2018.</w:t>
            </w:r>
            <w:r>
              <w:rPr>
                <w:rFonts w:ascii="Times New Roman" w:hAnsi="Times New Roman" w:cs="Times New Roman"/>
                <w:sz w:val="24"/>
                <w:szCs w:val="24"/>
              </w:rPr>
              <w:t xml:space="preserve"> Pentru a evalua capacitatea acestor companii de a suporta o povara fiscala in crestere, au fost </w:t>
            </w:r>
            <w:r w:rsidR="00EE474B">
              <w:rPr>
                <w:rFonts w:ascii="Times New Roman" w:hAnsi="Times New Roman" w:cs="Times New Roman"/>
                <w:sz w:val="24"/>
                <w:szCs w:val="24"/>
              </w:rPr>
              <w:t>evaluate urmatoarele alternative</w:t>
            </w:r>
            <w:r>
              <w:rPr>
                <w:rFonts w:ascii="Times New Roman" w:hAnsi="Times New Roman" w:cs="Times New Roman"/>
                <w:sz w:val="24"/>
                <w:szCs w:val="24"/>
              </w:rPr>
              <w:t xml:space="preserve"> (in ordinea posibilitatilor practice existente in activitatea de zi-cu-zi a oricarei companii):</w:t>
            </w:r>
          </w:p>
          <w:p w:rsidR="005222F8" w:rsidRPr="00D00694" w:rsidRDefault="005222F8" w:rsidP="002366FA">
            <w:pPr>
              <w:jc w:val="both"/>
              <w:rPr>
                <w:rFonts w:ascii="Times New Roman" w:hAnsi="Times New Roman" w:cs="Times New Roman"/>
                <w:sz w:val="14"/>
                <w:szCs w:val="24"/>
              </w:rPr>
            </w:pPr>
          </w:p>
          <w:p w:rsidR="002366FA" w:rsidRDefault="00EE474B" w:rsidP="002366FA">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Solutii operationale, respectiv </w:t>
            </w:r>
            <w:r w:rsidR="002366FA" w:rsidRPr="00EE474B">
              <w:rPr>
                <w:rFonts w:ascii="Times New Roman" w:hAnsi="Times New Roman" w:cs="Times New Roman"/>
                <w:b/>
                <w:sz w:val="24"/>
                <w:szCs w:val="24"/>
              </w:rPr>
              <w:t>estimarea fluxului de numerar operational prin metoda indirecta</w:t>
            </w:r>
            <w:r>
              <w:rPr>
                <w:rFonts w:ascii="Times New Roman" w:hAnsi="Times New Roman" w:cs="Times New Roman"/>
                <w:sz w:val="24"/>
                <w:szCs w:val="24"/>
              </w:rPr>
              <w:t>. P</w:t>
            </w:r>
            <w:r w:rsidR="002366FA">
              <w:rPr>
                <w:rFonts w:ascii="Times New Roman" w:hAnsi="Times New Roman" w:cs="Times New Roman"/>
                <w:sz w:val="24"/>
                <w:szCs w:val="24"/>
              </w:rPr>
              <w:t xml:space="preserve">ractic, </w:t>
            </w:r>
            <w:r>
              <w:rPr>
                <w:rFonts w:ascii="Times New Roman" w:hAnsi="Times New Roman" w:cs="Times New Roman"/>
                <w:sz w:val="24"/>
                <w:szCs w:val="24"/>
              </w:rPr>
              <w:t>numerarul net (incasari minus plati) din activitatea de baza a unei companii poate fi crescut prin:</w:t>
            </w:r>
          </w:p>
          <w:p w:rsidR="00D00694" w:rsidRPr="00D00694" w:rsidRDefault="00D00694" w:rsidP="00D00694">
            <w:pPr>
              <w:pStyle w:val="ListParagraph"/>
              <w:jc w:val="both"/>
              <w:rPr>
                <w:rFonts w:ascii="Times New Roman" w:hAnsi="Times New Roman" w:cs="Times New Roman"/>
                <w:sz w:val="14"/>
                <w:szCs w:val="24"/>
              </w:rPr>
            </w:pPr>
          </w:p>
          <w:p w:rsidR="00930C8D" w:rsidRDefault="00EE474B" w:rsidP="002366FA">
            <w:pPr>
              <w:pStyle w:val="ListParagraph"/>
              <w:numPr>
                <w:ilvl w:val="1"/>
                <w:numId w:val="3"/>
              </w:numPr>
              <w:jc w:val="both"/>
              <w:rPr>
                <w:rFonts w:ascii="Times New Roman" w:hAnsi="Times New Roman" w:cs="Times New Roman"/>
                <w:sz w:val="24"/>
                <w:szCs w:val="24"/>
              </w:rPr>
            </w:pPr>
            <w:r w:rsidRPr="00EE474B">
              <w:rPr>
                <w:rFonts w:ascii="Times New Roman" w:hAnsi="Times New Roman" w:cs="Times New Roman"/>
                <w:b/>
                <w:sz w:val="24"/>
                <w:szCs w:val="24"/>
              </w:rPr>
              <w:t>cresterea profitului operational</w:t>
            </w:r>
            <w:r>
              <w:rPr>
                <w:rFonts w:ascii="Times New Roman" w:hAnsi="Times New Roman" w:cs="Times New Roman"/>
                <w:sz w:val="24"/>
                <w:szCs w:val="24"/>
              </w:rPr>
              <w:t xml:space="preserve">: dificil de realizat, avand in vedere scumpirea capitalului (consensul pietei indica cresterea dobanzilor incepand cu a doua jumatate a anului curent), descurajarea investitiilor (din cauza impozitarii venitului) si cresterile cheltuielilor cu personalul. </w:t>
            </w:r>
            <w:r w:rsidR="00A705A1">
              <w:rPr>
                <w:rFonts w:ascii="Times New Roman" w:hAnsi="Times New Roman" w:cs="Times New Roman"/>
                <w:sz w:val="24"/>
                <w:szCs w:val="24"/>
              </w:rPr>
              <w:t>Conform programului de guvernare, n</w:t>
            </w:r>
            <w:r w:rsidRPr="004373A4">
              <w:rPr>
                <w:rFonts w:ascii="Times New Roman" w:hAnsi="Times New Roman" w:cs="Times New Roman"/>
                <w:sz w:val="24"/>
                <w:szCs w:val="24"/>
              </w:rPr>
              <w:t xml:space="preserve">ivelul salariului minim brut </w:t>
            </w:r>
            <w:r>
              <w:rPr>
                <w:rFonts w:ascii="Times New Roman" w:hAnsi="Times New Roman" w:cs="Times New Roman"/>
                <w:sz w:val="24"/>
                <w:szCs w:val="24"/>
              </w:rPr>
              <w:t>i</w:t>
            </w:r>
            <w:r w:rsidRPr="004373A4">
              <w:rPr>
                <w:rFonts w:ascii="Times New Roman" w:hAnsi="Times New Roman" w:cs="Times New Roman"/>
                <w:sz w:val="24"/>
                <w:szCs w:val="24"/>
              </w:rPr>
              <w:t>n Rom</w:t>
            </w:r>
            <w:r>
              <w:rPr>
                <w:rFonts w:ascii="Times New Roman" w:hAnsi="Times New Roman" w:cs="Times New Roman"/>
                <w:sz w:val="24"/>
                <w:szCs w:val="24"/>
              </w:rPr>
              <w:t>a</w:t>
            </w:r>
            <w:r w:rsidRPr="004373A4">
              <w:rPr>
                <w:rFonts w:ascii="Times New Roman" w:hAnsi="Times New Roman" w:cs="Times New Roman"/>
                <w:sz w:val="24"/>
                <w:szCs w:val="24"/>
              </w:rPr>
              <w:t xml:space="preserve">nia, </w:t>
            </w:r>
            <w:r>
              <w:rPr>
                <w:rFonts w:ascii="Times New Roman" w:hAnsi="Times New Roman" w:cs="Times New Roman"/>
                <w:sz w:val="24"/>
                <w:szCs w:val="24"/>
              </w:rPr>
              <w:t>i</w:t>
            </w:r>
            <w:r w:rsidRPr="004373A4">
              <w:rPr>
                <w:rFonts w:ascii="Times New Roman" w:hAnsi="Times New Roman" w:cs="Times New Roman"/>
                <w:sz w:val="24"/>
                <w:szCs w:val="24"/>
              </w:rPr>
              <w:t>n urm</w:t>
            </w:r>
            <w:r>
              <w:rPr>
                <w:rFonts w:ascii="Times New Roman" w:hAnsi="Times New Roman" w:cs="Times New Roman"/>
                <w:sz w:val="24"/>
                <w:szCs w:val="24"/>
              </w:rPr>
              <w:t>a</w:t>
            </w:r>
            <w:r w:rsidRPr="004373A4">
              <w:rPr>
                <w:rFonts w:ascii="Times New Roman" w:hAnsi="Times New Roman" w:cs="Times New Roman"/>
                <w:sz w:val="24"/>
                <w:szCs w:val="24"/>
              </w:rPr>
              <w:t xml:space="preserve">torii 4 ani, va fi de </w:t>
            </w:r>
            <w:r w:rsidRPr="00DE4749">
              <w:rPr>
                <w:rFonts w:ascii="Times New Roman" w:hAnsi="Times New Roman" w:cs="Times New Roman"/>
                <w:sz w:val="24"/>
                <w:szCs w:val="24"/>
              </w:rPr>
              <w:t>2</w:t>
            </w:r>
            <w:r w:rsidR="00A705A1">
              <w:rPr>
                <w:rFonts w:ascii="Times New Roman" w:hAnsi="Times New Roman" w:cs="Times New Roman"/>
                <w:sz w:val="24"/>
                <w:szCs w:val="24"/>
              </w:rPr>
              <w:t>.</w:t>
            </w:r>
            <w:r w:rsidRPr="00DE4749">
              <w:rPr>
                <w:rFonts w:ascii="Times New Roman" w:hAnsi="Times New Roman" w:cs="Times New Roman"/>
                <w:sz w:val="24"/>
                <w:szCs w:val="24"/>
              </w:rPr>
              <w:t>000 lei in 2018, 2</w:t>
            </w:r>
            <w:r w:rsidR="00A705A1">
              <w:rPr>
                <w:rFonts w:ascii="Times New Roman" w:hAnsi="Times New Roman" w:cs="Times New Roman"/>
                <w:sz w:val="24"/>
                <w:szCs w:val="24"/>
              </w:rPr>
              <w:t>.</w:t>
            </w:r>
            <w:r w:rsidRPr="00DE4749">
              <w:rPr>
                <w:rFonts w:ascii="Times New Roman" w:hAnsi="Times New Roman" w:cs="Times New Roman"/>
                <w:sz w:val="24"/>
                <w:szCs w:val="24"/>
              </w:rPr>
              <w:t>200 lei in 2019 si 2</w:t>
            </w:r>
            <w:r w:rsidR="00A705A1">
              <w:rPr>
                <w:rFonts w:ascii="Times New Roman" w:hAnsi="Times New Roman" w:cs="Times New Roman"/>
                <w:sz w:val="24"/>
                <w:szCs w:val="24"/>
              </w:rPr>
              <w:t>.</w:t>
            </w:r>
            <w:r w:rsidRPr="00DE4749">
              <w:rPr>
                <w:rFonts w:ascii="Times New Roman" w:hAnsi="Times New Roman" w:cs="Times New Roman"/>
                <w:sz w:val="24"/>
                <w:szCs w:val="24"/>
              </w:rPr>
              <w:t>400 lei in 2020</w:t>
            </w:r>
            <w:r w:rsidRPr="004373A4">
              <w:rPr>
                <w:rFonts w:ascii="Times New Roman" w:hAnsi="Times New Roman" w:cs="Times New Roman"/>
                <w:sz w:val="24"/>
                <w:szCs w:val="24"/>
              </w:rPr>
              <w:t>. Pentru cei cu studii superioare salariul minim va fi de 2</w:t>
            </w:r>
            <w:r w:rsidR="00A705A1">
              <w:rPr>
                <w:rFonts w:ascii="Times New Roman" w:hAnsi="Times New Roman" w:cs="Times New Roman"/>
                <w:sz w:val="24"/>
                <w:szCs w:val="24"/>
              </w:rPr>
              <w:t>.</w:t>
            </w:r>
            <w:r w:rsidRPr="004373A4">
              <w:rPr>
                <w:rFonts w:ascii="Times New Roman" w:hAnsi="Times New Roman" w:cs="Times New Roman"/>
                <w:sz w:val="24"/>
                <w:szCs w:val="24"/>
              </w:rPr>
              <w:t>300 lei in 2018, 2</w:t>
            </w:r>
            <w:r w:rsidR="00A705A1">
              <w:rPr>
                <w:rFonts w:ascii="Times New Roman" w:hAnsi="Times New Roman" w:cs="Times New Roman"/>
                <w:sz w:val="24"/>
                <w:szCs w:val="24"/>
              </w:rPr>
              <w:t>.</w:t>
            </w:r>
            <w:r w:rsidRPr="004373A4">
              <w:rPr>
                <w:rFonts w:ascii="Times New Roman" w:hAnsi="Times New Roman" w:cs="Times New Roman"/>
                <w:sz w:val="24"/>
                <w:szCs w:val="24"/>
              </w:rPr>
              <w:t>640 lei in 2019 si 3</w:t>
            </w:r>
            <w:r w:rsidR="00A705A1">
              <w:rPr>
                <w:rFonts w:ascii="Times New Roman" w:hAnsi="Times New Roman" w:cs="Times New Roman"/>
                <w:sz w:val="24"/>
                <w:szCs w:val="24"/>
              </w:rPr>
              <w:t>.</w:t>
            </w:r>
            <w:r w:rsidRPr="004373A4">
              <w:rPr>
                <w:rFonts w:ascii="Times New Roman" w:hAnsi="Times New Roman" w:cs="Times New Roman"/>
                <w:sz w:val="24"/>
                <w:szCs w:val="24"/>
              </w:rPr>
              <w:t xml:space="preserve">000 lei in 2020”. </w:t>
            </w:r>
            <w:r>
              <w:rPr>
                <w:rFonts w:ascii="Times New Roman" w:hAnsi="Times New Roman" w:cs="Times New Roman"/>
                <w:sz w:val="24"/>
                <w:szCs w:val="24"/>
              </w:rPr>
              <w:t>I</w:t>
            </w:r>
            <w:r w:rsidRPr="004373A4">
              <w:rPr>
                <w:rFonts w:ascii="Times New Roman" w:hAnsi="Times New Roman" w:cs="Times New Roman"/>
                <w:sz w:val="24"/>
                <w:szCs w:val="24"/>
              </w:rPr>
              <w:t>n prezent, salariul minim brut este de 1450 de lei pe lun</w:t>
            </w:r>
            <w:r>
              <w:rPr>
                <w:rFonts w:ascii="Times New Roman" w:hAnsi="Times New Roman" w:cs="Times New Roman"/>
                <w:sz w:val="24"/>
                <w:szCs w:val="24"/>
              </w:rPr>
              <w:t>a;</w:t>
            </w:r>
          </w:p>
          <w:p w:rsidR="005222F8" w:rsidRPr="00D00694" w:rsidRDefault="005222F8" w:rsidP="005222F8">
            <w:pPr>
              <w:pStyle w:val="ListParagraph"/>
              <w:ind w:left="1440"/>
              <w:jc w:val="both"/>
              <w:rPr>
                <w:rFonts w:ascii="Times New Roman" w:hAnsi="Times New Roman" w:cs="Times New Roman"/>
                <w:sz w:val="16"/>
                <w:szCs w:val="24"/>
              </w:rPr>
            </w:pPr>
          </w:p>
          <w:p w:rsidR="00EE474B" w:rsidRDefault="00EE474B" w:rsidP="002366FA">
            <w:pPr>
              <w:pStyle w:val="ListParagraph"/>
              <w:numPr>
                <w:ilvl w:val="1"/>
                <w:numId w:val="3"/>
              </w:numPr>
              <w:jc w:val="both"/>
              <w:rPr>
                <w:rFonts w:ascii="Times New Roman" w:hAnsi="Times New Roman" w:cs="Times New Roman"/>
                <w:sz w:val="24"/>
                <w:szCs w:val="24"/>
              </w:rPr>
            </w:pPr>
            <w:r w:rsidRPr="00EE474B">
              <w:rPr>
                <w:rFonts w:ascii="Times New Roman" w:hAnsi="Times New Roman" w:cs="Times New Roman"/>
                <w:b/>
                <w:sz w:val="24"/>
                <w:szCs w:val="24"/>
              </w:rPr>
              <w:t>reducerea duratei de rotatie a stocurilor (vanzarea din stoc</w:t>
            </w:r>
            <w:r>
              <w:rPr>
                <w:rFonts w:ascii="Times New Roman" w:hAnsi="Times New Roman" w:cs="Times New Roman"/>
                <w:sz w:val="24"/>
                <w:szCs w:val="24"/>
              </w:rPr>
              <w:t>): dificil de realizat, in conditiile in care nivelul actual al stocurilor raportat de catre mediul de afaceri acopera necesarul doar pentru 40 de zile;</w:t>
            </w:r>
          </w:p>
          <w:p w:rsidR="00EE474B" w:rsidRDefault="00EE474B" w:rsidP="00EE474B">
            <w:pPr>
              <w:pStyle w:val="ListParagraph"/>
              <w:numPr>
                <w:ilvl w:val="1"/>
                <w:numId w:val="3"/>
              </w:numPr>
              <w:jc w:val="both"/>
              <w:rPr>
                <w:rFonts w:ascii="Times New Roman" w:hAnsi="Times New Roman" w:cs="Times New Roman"/>
                <w:sz w:val="24"/>
                <w:szCs w:val="24"/>
              </w:rPr>
            </w:pPr>
            <w:r>
              <w:rPr>
                <w:rFonts w:ascii="Times New Roman" w:hAnsi="Times New Roman" w:cs="Times New Roman"/>
                <w:b/>
                <w:sz w:val="24"/>
                <w:szCs w:val="24"/>
              </w:rPr>
              <w:lastRenderedPageBreak/>
              <w:t xml:space="preserve">colectarea mai rapida a creantelor: </w:t>
            </w:r>
            <w:r>
              <w:rPr>
                <w:rFonts w:ascii="Times New Roman" w:hAnsi="Times New Roman" w:cs="Times New Roman"/>
                <w:sz w:val="24"/>
                <w:szCs w:val="24"/>
              </w:rPr>
              <w:t>teoretic, aceasta ar putea fi o resursa importanta, in conditiile in care nivelul actual este destul de ridicat, resp</w:t>
            </w:r>
            <w:r w:rsidR="00A705A1">
              <w:rPr>
                <w:rFonts w:ascii="Times New Roman" w:hAnsi="Times New Roman" w:cs="Times New Roman"/>
                <w:sz w:val="24"/>
                <w:szCs w:val="24"/>
              </w:rPr>
              <w:t>e</w:t>
            </w:r>
            <w:r>
              <w:rPr>
                <w:rFonts w:ascii="Times New Roman" w:hAnsi="Times New Roman" w:cs="Times New Roman"/>
                <w:sz w:val="24"/>
                <w:szCs w:val="24"/>
              </w:rPr>
              <w:t xml:space="preserve">ctiv 118 zile, fiind aproape de doua ori mai extins decat nivelul inregistrat inaintea impactului crizei financiare (60 de zile in anul 2007). Practic, este greu de crezut ca acest lucru va fi posibil, deoarece creantele existente in sold sunt foarte vechi si </w:t>
            </w:r>
            <w:r w:rsidR="00616CA4">
              <w:rPr>
                <w:rFonts w:ascii="Times New Roman" w:hAnsi="Times New Roman" w:cs="Times New Roman"/>
                <w:sz w:val="24"/>
                <w:szCs w:val="24"/>
              </w:rPr>
              <w:t>foarte greu de recuperat</w:t>
            </w:r>
            <w:r>
              <w:rPr>
                <w:rFonts w:ascii="Times New Roman" w:hAnsi="Times New Roman" w:cs="Times New Roman"/>
                <w:sz w:val="24"/>
                <w:szCs w:val="24"/>
              </w:rPr>
              <w:t xml:space="preserve"> (majoritatea fiind aferente unor clienti insolventi) iar companiile vor inregistra o presiune fiscala in crestere;</w:t>
            </w:r>
          </w:p>
          <w:p w:rsidR="005222F8" w:rsidRDefault="005222F8" w:rsidP="005222F8">
            <w:pPr>
              <w:pStyle w:val="ListParagraph"/>
              <w:ind w:left="1440"/>
              <w:jc w:val="both"/>
              <w:rPr>
                <w:rFonts w:ascii="Times New Roman" w:hAnsi="Times New Roman" w:cs="Times New Roman"/>
                <w:sz w:val="24"/>
                <w:szCs w:val="24"/>
              </w:rPr>
            </w:pPr>
          </w:p>
          <w:p w:rsidR="00EE474B" w:rsidRDefault="00EE474B" w:rsidP="00EE474B">
            <w:pPr>
              <w:pStyle w:val="ListParagraph"/>
              <w:numPr>
                <w:ilvl w:val="1"/>
                <w:numId w:val="3"/>
              </w:numPr>
              <w:jc w:val="both"/>
              <w:rPr>
                <w:rFonts w:ascii="Times New Roman" w:hAnsi="Times New Roman" w:cs="Times New Roman"/>
                <w:sz w:val="24"/>
                <w:szCs w:val="24"/>
              </w:rPr>
            </w:pPr>
            <w:r>
              <w:rPr>
                <w:rFonts w:ascii="Times New Roman" w:hAnsi="Times New Roman" w:cs="Times New Roman"/>
                <w:b/>
                <w:sz w:val="24"/>
                <w:szCs w:val="24"/>
              </w:rPr>
              <w:t>cresterea termenului de plata catre furnizori:</w:t>
            </w:r>
            <w:r>
              <w:rPr>
                <w:rFonts w:ascii="Times New Roman" w:hAnsi="Times New Roman" w:cs="Times New Roman"/>
                <w:sz w:val="24"/>
                <w:szCs w:val="24"/>
              </w:rPr>
              <w:t xml:space="preserve"> istoria ultimilor zece ani ne arata ca firmele romanesti au optat la aceasta solutie atunci cand au avut nevoie de lichiditate. Totusi, chiar daca acest lucru se va intampla, aceasta nu va face decat sa amplifice problema, deoarece furnizorii vor avea o problema dubla (povara fiscale in crestere cuplata cu incasarea mai lenta a facturilor);</w:t>
            </w:r>
          </w:p>
          <w:p w:rsidR="008967B8" w:rsidRPr="008967B8" w:rsidRDefault="008967B8" w:rsidP="008967B8">
            <w:pPr>
              <w:pStyle w:val="ListParagraph"/>
              <w:rPr>
                <w:rFonts w:ascii="Times New Roman" w:hAnsi="Times New Roman" w:cs="Times New Roman"/>
                <w:sz w:val="24"/>
                <w:szCs w:val="24"/>
              </w:rPr>
            </w:pPr>
          </w:p>
          <w:p w:rsidR="00EE474B" w:rsidRDefault="00065329" w:rsidP="00EE474B">
            <w:pPr>
              <w:pStyle w:val="ListParagraph"/>
              <w:numPr>
                <w:ilvl w:val="0"/>
                <w:numId w:val="3"/>
              </w:numPr>
              <w:jc w:val="both"/>
              <w:rPr>
                <w:rFonts w:ascii="Times New Roman" w:hAnsi="Times New Roman" w:cs="Times New Roman"/>
                <w:sz w:val="24"/>
                <w:szCs w:val="24"/>
              </w:rPr>
            </w:pPr>
            <w:r w:rsidRPr="00065329">
              <w:rPr>
                <w:rFonts w:ascii="Times New Roman" w:hAnsi="Times New Roman" w:cs="Times New Roman"/>
                <w:b/>
                <w:sz w:val="24"/>
                <w:szCs w:val="24"/>
              </w:rPr>
              <w:t>Solutii investitionale</w:t>
            </w:r>
            <w:r w:rsidR="00172DDD">
              <w:rPr>
                <w:rFonts w:ascii="Times New Roman" w:hAnsi="Times New Roman" w:cs="Times New Roman"/>
                <w:sz w:val="24"/>
                <w:szCs w:val="24"/>
              </w:rPr>
              <w:t xml:space="preserve"> – practic, companiile pot genera numerar suplimentar prin dezinvestitii (vanzarea unor active care nu sunt imperios necesare activitatii de baza, sau vanzarea unor active „core” si inchirierea lor ulterioara spre utilizare („sale and lease back”). Totusi, dezinvestitiile nu reprezinta decat o solutie pe termen scurt, acestea avand un efect opus si amplificand problema pe termen mediu-lung, deoarece deterioreaza competitivitatea firmei respective;</w:t>
            </w:r>
          </w:p>
          <w:p w:rsidR="008967B8" w:rsidRPr="008967B8" w:rsidRDefault="008967B8" w:rsidP="008967B8">
            <w:pPr>
              <w:pStyle w:val="ListParagraph"/>
              <w:jc w:val="both"/>
              <w:rPr>
                <w:rFonts w:ascii="Times New Roman" w:hAnsi="Times New Roman" w:cs="Times New Roman"/>
                <w:sz w:val="24"/>
                <w:szCs w:val="24"/>
              </w:rPr>
            </w:pPr>
          </w:p>
          <w:p w:rsidR="00065329" w:rsidRDefault="00A61181" w:rsidP="003027A0">
            <w:pPr>
              <w:pStyle w:val="ListParagraph"/>
              <w:numPr>
                <w:ilvl w:val="0"/>
                <w:numId w:val="3"/>
              </w:numPr>
              <w:jc w:val="both"/>
              <w:rPr>
                <w:rFonts w:ascii="Times New Roman" w:hAnsi="Times New Roman" w:cs="Times New Roman"/>
                <w:sz w:val="24"/>
                <w:szCs w:val="24"/>
              </w:rPr>
            </w:pPr>
            <w:r w:rsidRPr="00A61181">
              <w:rPr>
                <w:rFonts w:ascii="Times New Roman" w:hAnsi="Times New Roman" w:cs="Times New Roman"/>
                <w:b/>
                <w:sz w:val="24"/>
                <w:szCs w:val="24"/>
              </w:rPr>
              <w:t>Solutii financiare</w:t>
            </w:r>
            <w:r>
              <w:rPr>
                <w:rFonts w:ascii="Times New Roman" w:hAnsi="Times New Roman" w:cs="Times New Roman"/>
                <w:sz w:val="24"/>
                <w:szCs w:val="24"/>
              </w:rPr>
              <w:t xml:space="preserve"> –</w:t>
            </w:r>
            <w:r w:rsidR="008C4981">
              <w:rPr>
                <w:rFonts w:ascii="Times New Roman" w:hAnsi="Times New Roman" w:cs="Times New Roman"/>
                <w:sz w:val="24"/>
                <w:szCs w:val="24"/>
              </w:rPr>
              <w:t xml:space="preserve"> </w:t>
            </w:r>
            <w:r>
              <w:rPr>
                <w:rFonts w:ascii="Times New Roman" w:hAnsi="Times New Roman" w:cs="Times New Roman"/>
                <w:sz w:val="24"/>
                <w:szCs w:val="24"/>
              </w:rPr>
              <w:t xml:space="preserve"> companiile pot o</w:t>
            </w:r>
            <w:r w:rsidR="008C4981">
              <w:rPr>
                <w:rFonts w:ascii="Times New Roman" w:hAnsi="Times New Roman" w:cs="Times New Roman"/>
                <w:sz w:val="24"/>
                <w:szCs w:val="24"/>
              </w:rPr>
              <w:t xml:space="preserve">btine numerar suplimentar prin </w:t>
            </w:r>
            <w:r>
              <w:rPr>
                <w:rFonts w:ascii="Times New Roman" w:hAnsi="Times New Roman" w:cs="Times New Roman"/>
                <w:sz w:val="24"/>
                <w:szCs w:val="24"/>
              </w:rPr>
              <w:t>c</w:t>
            </w:r>
            <w:r w:rsidRPr="00A61181">
              <w:rPr>
                <w:rFonts w:ascii="Times New Roman" w:hAnsi="Times New Roman" w:cs="Times New Roman"/>
                <w:sz w:val="24"/>
                <w:szCs w:val="24"/>
              </w:rPr>
              <w:t>ontractarea unor credi</w:t>
            </w:r>
            <w:r>
              <w:rPr>
                <w:rFonts w:ascii="Times New Roman" w:hAnsi="Times New Roman" w:cs="Times New Roman"/>
                <w:sz w:val="24"/>
                <w:szCs w:val="24"/>
              </w:rPr>
              <w:t xml:space="preserve">te de la banci sau capitalizarea suplimentara de la actionari. </w:t>
            </w:r>
            <w:r w:rsidR="003027A0">
              <w:rPr>
                <w:rFonts w:ascii="Times New Roman" w:hAnsi="Times New Roman" w:cs="Times New Roman"/>
                <w:sz w:val="24"/>
                <w:szCs w:val="24"/>
              </w:rPr>
              <w:t>Pracitc, e</w:t>
            </w:r>
            <w:r>
              <w:rPr>
                <w:rFonts w:ascii="Times New Roman" w:hAnsi="Times New Roman" w:cs="Times New Roman"/>
                <w:sz w:val="24"/>
                <w:szCs w:val="24"/>
              </w:rPr>
              <w:t xml:space="preserve">ste greu de crezut ca actionarii vor dori sa faca acest lucru, sau ca bancile sunt dispuse sa finanteze o companie doar pentru acoperirea impozitelor suplimentare. </w:t>
            </w:r>
          </w:p>
          <w:p w:rsidR="003027A0" w:rsidRDefault="003027A0" w:rsidP="003027A0">
            <w:pPr>
              <w:jc w:val="both"/>
              <w:rPr>
                <w:rFonts w:ascii="Times New Roman" w:hAnsi="Times New Roman" w:cs="Times New Roman"/>
                <w:sz w:val="24"/>
                <w:szCs w:val="24"/>
              </w:rPr>
            </w:pPr>
          </w:p>
          <w:p w:rsidR="003027A0" w:rsidRDefault="003027A0" w:rsidP="003027A0">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In acest context, conditia esentiala pentru continuarea activitatii este </w:t>
            </w:r>
            <w:r>
              <w:rPr>
                <w:rFonts w:ascii="Times New Roman" w:eastAsia="Calibri" w:hAnsi="Times New Roman" w:cs="Times New Roman"/>
                <w:b/>
                <w:color w:val="000000" w:themeColor="text1"/>
                <w:sz w:val="24"/>
                <w:szCs w:val="24"/>
              </w:rPr>
              <w:t xml:space="preserve">optimizarea fluxului de numerar </w:t>
            </w:r>
            <w:r>
              <w:rPr>
                <w:rFonts w:ascii="Times New Roman" w:eastAsia="Calibri" w:hAnsi="Times New Roman" w:cs="Times New Roman"/>
                <w:color w:val="000000" w:themeColor="text1"/>
                <w:sz w:val="24"/>
                <w:szCs w:val="24"/>
              </w:rPr>
              <w:t>din activitatea operationala, investitionala sau financ</w:t>
            </w:r>
            <w:r w:rsidR="00A006A1">
              <w:rPr>
                <w:rFonts w:ascii="Times New Roman" w:eastAsia="Calibri" w:hAnsi="Times New Roman" w:cs="Times New Roman"/>
                <w:color w:val="000000" w:themeColor="text1"/>
                <w:sz w:val="24"/>
                <w:szCs w:val="24"/>
              </w:rPr>
              <w:t>iara, conform schemei urmatoare (sunt incluse si formulele folosite pentru estimarea fluxului de numerar.</w:t>
            </w:r>
          </w:p>
          <w:p w:rsidR="00A006A1" w:rsidRDefault="00A006A1" w:rsidP="003027A0">
            <w:pPr>
              <w:jc w:val="both"/>
              <w:rPr>
                <w:rFonts w:ascii="Times New Roman" w:eastAsia="Calibri" w:hAnsi="Times New Roman" w:cs="Times New Roman"/>
                <w:color w:val="000000" w:themeColor="text1"/>
                <w:sz w:val="24"/>
                <w:szCs w:val="24"/>
              </w:rPr>
            </w:pPr>
          </w:p>
          <w:p w:rsidR="00A006A1" w:rsidRPr="00990CCB" w:rsidRDefault="00A006A1" w:rsidP="003027A0">
            <w:pPr>
              <w:jc w:val="both"/>
              <w:rPr>
                <w:rFonts w:ascii="Times New Roman" w:eastAsia="Calibri" w:hAnsi="Times New Roman" w:cs="Times New Roman"/>
                <w:sz w:val="24"/>
                <w:szCs w:val="24"/>
              </w:rPr>
            </w:pPr>
            <w:r w:rsidRPr="00990CCB">
              <w:rPr>
                <w:rFonts w:ascii="Times New Roman" w:eastAsia="Calibri" w:hAnsi="Times New Roman" w:cs="Times New Roman"/>
                <w:noProof/>
                <w:sz w:val="24"/>
                <w:szCs w:val="24"/>
                <w:lang w:eastAsia="ro-RO"/>
              </w:rPr>
              <mc:AlternateContent>
                <mc:Choice Requires="wps">
                  <w:drawing>
                    <wp:anchor distT="0" distB="0" distL="114300" distR="114300" simplePos="0" relativeHeight="251664384" behindDoc="0" locked="0" layoutInCell="1" allowOverlap="1" wp14:anchorId="01C2EA65" wp14:editId="2DA6E32F">
                      <wp:simplePos x="0" y="0"/>
                      <wp:positionH relativeFrom="column">
                        <wp:posOffset>1823085</wp:posOffset>
                      </wp:positionH>
                      <wp:positionV relativeFrom="paragraph">
                        <wp:posOffset>134197</wp:posOffset>
                      </wp:positionV>
                      <wp:extent cx="2785110" cy="414655"/>
                      <wp:effectExtent l="0" t="0" r="15240" b="2349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414655"/>
                              </a:xfrm>
                              <a:prstGeom prst="rect">
                                <a:avLst/>
                              </a:prstGeom>
                              <a:solidFill>
                                <a:srgbClr val="FFFFFF"/>
                              </a:solidFill>
                              <a:ln w="9525">
                                <a:solidFill>
                                  <a:srgbClr val="000000"/>
                                </a:solidFill>
                                <a:miter lim="800000"/>
                                <a:headEnd/>
                                <a:tailEnd/>
                              </a:ln>
                            </wps:spPr>
                            <wps:txbx>
                              <w:txbxContent>
                                <w:p w:rsidR="003027A0" w:rsidRDefault="003027A0" w:rsidP="003027A0">
                                  <w:pPr>
                                    <w:spacing w:after="0" w:line="240" w:lineRule="auto"/>
                                    <w:jc w:val="center"/>
                                    <w:rPr>
                                      <w:rFonts w:ascii="Times New Roman" w:hAnsi="Times New Roman" w:cs="Times New Roman"/>
                                      <w:sz w:val="20"/>
                                      <w:szCs w:val="20"/>
                                    </w:rPr>
                                  </w:pPr>
                                  <w:r w:rsidRPr="00E64AEA">
                                    <w:rPr>
                                      <w:rFonts w:ascii="Times New Roman" w:hAnsi="Times New Roman" w:cs="Times New Roman"/>
                                      <w:sz w:val="20"/>
                                      <w:szCs w:val="20"/>
                                    </w:rPr>
                                    <w:t>CF</w:t>
                                  </w:r>
                                  <w:r>
                                    <w:rPr>
                                      <w:rFonts w:ascii="Times New Roman" w:hAnsi="Times New Roman" w:cs="Times New Roman"/>
                                      <w:sz w:val="20"/>
                                      <w:szCs w:val="20"/>
                                    </w:rPr>
                                    <w:t>F</w:t>
                                  </w:r>
                                  <w:r w:rsidRPr="00E64AEA">
                                    <w:rPr>
                                      <w:rFonts w:ascii="Times New Roman" w:hAnsi="Times New Roman" w:cs="Times New Roman"/>
                                      <w:sz w:val="20"/>
                                      <w:szCs w:val="20"/>
                                    </w:rPr>
                                    <w:t xml:space="preserve"> = Incasari – Plati </w:t>
                                  </w:r>
                                  <w:r>
                                    <w:rPr>
                                      <w:rFonts w:ascii="Times New Roman" w:hAnsi="Times New Roman" w:cs="Times New Roman"/>
                                      <w:sz w:val="20"/>
                                      <w:szCs w:val="20"/>
                                    </w:rPr>
                                    <w:t>Financiare</w:t>
                                  </w:r>
                                </w:p>
                                <w:p w:rsidR="003027A0" w:rsidRPr="00E64AEA" w:rsidRDefault="003027A0" w:rsidP="003027A0">
                                  <w:pPr>
                                    <w:spacing w:after="0" w:line="240" w:lineRule="auto"/>
                                    <w:jc w:val="center"/>
                                    <w:rPr>
                                      <w:rFonts w:ascii="Times New Roman" w:hAnsi="Times New Roman" w:cs="Times New Roman"/>
                                      <w:sz w:val="20"/>
                                      <w:szCs w:val="20"/>
                                    </w:rPr>
                                  </w:pPr>
                                  <w:r w:rsidRPr="00E64AEA">
                                    <w:rPr>
                                      <w:rFonts w:ascii="Times New Roman" w:hAnsi="Times New Roman" w:cs="Times New Roman"/>
                                      <w:sz w:val="20"/>
                                      <w:szCs w:val="20"/>
                                    </w:rPr>
                                    <w:t>= ∆(D</w:t>
                                  </w:r>
                                  <w:r>
                                    <w:rPr>
                                      <w:rFonts w:ascii="Times New Roman" w:hAnsi="Times New Roman" w:cs="Times New Roman"/>
                                      <w:sz w:val="20"/>
                                      <w:szCs w:val="20"/>
                                    </w:rPr>
                                    <w:t>atoriiBanci) + ∆(Cap. Social)-</w:t>
                                  </w:r>
                                  <w:r w:rsidRPr="00E64AEA">
                                    <w:rPr>
                                      <w:rFonts w:ascii="Times New Roman" w:hAnsi="Times New Roman" w:cs="Times New Roman"/>
                                      <w:sz w:val="20"/>
                                      <w:szCs w:val="20"/>
                                    </w:rPr>
                                    <w:t>∆(Dividende)</w:t>
                                  </w:r>
                                </w:p>
                                <w:p w:rsidR="003027A0" w:rsidRPr="00E64AEA" w:rsidRDefault="003027A0" w:rsidP="003027A0">
                                  <w:pPr>
                                    <w:jc w:val="cente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55pt;margin-top:10.55pt;width:219.3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">
                      <v:textbox>
                        <w:txbxContent>
                          <w:p w:rsidR="003027A0" w:rsidRDefault="003027A0" w:rsidP="003027A0">
                            <w:pPr>
                              <w:spacing w:after="0" w:line="240" w:lineRule="auto"/>
                              <w:jc w:val="center"/>
                              <w:rPr>
                                <w:rFonts w:ascii="Times New Roman" w:hAnsi="Times New Roman" w:cs="Times New Roman"/>
                                <w:sz w:val="20"/>
                                <w:szCs w:val="20"/>
                              </w:rPr>
                            </w:pPr>
                            <w:r w:rsidRPr="00E64AEA">
                              <w:rPr>
                                <w:rFonts w:ascii="Times New Roman" w:hAnsi="Times New Roman" w:cs="Times New Roman"/>
                                <w:sz w:val="20"/>
                                <w:szCs w:val="20"/>
                              </w:rPr>
                              <w:t>CF</w:t>
                            </w:r>
                            <w:r>
                              <w:rPr>
                                <w:rFonts w:ascii="Times New Roman" w:hAnsi="Times New Roman" w:cs="Times New Roman"/>
                                <w:sz w:val="20"/>
                                <w:szCs w:val="20"/>
                              </w:rPr>
                              <w:t>F</w:t>
                            </w:r>
                            <w:r w:rsidRPr="00E64AEA">
                              <w:rPr>
                                <w:rFonts w:ascii="Times New Roman" w:hAnsi="Times New Roman" w:cs="Times New Roman"/>
                                <w:sz w:val="20"/>
                                <w:szCs w:val="20"/>
                              </w:rPr>
                              <w:t xml:space="preserve"> = Incasari – Plati </w:t>
                            </w:r>
                            <w:r>
                              <w:rPr>
                                <w:rFonts w:ascii="Times New Roman" w:hAnsi="Times New Roman" w:cs="Times New Roman"/>
                                <w:sz w:val="20"/>
                                <w:szCs w:val="20"/>
                              </w:rPr>
                              <w:t>Financiare</w:t>
                            </w:r>
                          </w:p>
                          <w:p w:rsidR="003027A0" w:rsidRPr="00E64AEA" w:rsidRDefault="003027A0" w:rsidP="003027A0">
                            <w:pPr>
                              <w:spacing w:after="0" w:line="240" w:lineRule="auto"/>
                              <w:jc w:val="center"/>
                              <w:rPr>
                                <w:rFonts w:ascii="Times New Roman" w:hAnsi="Times New Roman" w:cs="Times New Roman"/>
                                <w:sz w:val="20"/>
                                <w:szCs w:val="20"/>
                              </w:rPr>
                            </w:pPr>
                            <w:r w:rsidRPr="00E64AEA">
                              <w:rPr>
                                <w:rFonts w:ascii="Times New Roman" w:hAnsi="Times New Roman" w:cs="Times New Roman"/>
                                <w:sz w:val="20"/>
                                <w:szCs w:val="20"/>
                              </w:rPr>
                              <w:t>= ∆(D</w:t>
                            </w:r>
                            <w:r>
                              <w:rPr>
                                <w:rFonts w:ascii="Times New Roman" w:hAnsi="Times New Roman" w:cs="Times New Roman"/>
                                <w:sz w:val="20"/>
                                <w:szCs w:val="20"/>
                              </w:rPr>
                              <w:t>atoriiBanci) + ∆(Cap. Social)-</w:t>
                            </w:r>
                            <w:r w:rsidRPr="00E64AEA">
                              <w:rPr>
                                <w:rFonts w:ascii="Times New Roman" w:hAnsi="Times New Roman" w:cs="Times New Roman"/>
                                <w:sz w:val="20"/>
                                <w:szCs w:val="20"/>
                              </w:rPr>
                              <w:t>∆(Dividende)</w:t>
                            </w:r>
                          </w:p>
                          <w:p w:rsidR="003027A0" w:rsidRPr="00E64AEA" w:rsidRDefault="003027A0" w:rsidP="003027A0">
                            <w:pPr>
                              <w:jc w:val="center"/>
                              <w:rPr>
                                <w:rFonts w:ascii="Times New Roman" w:hAnsi="Times New Roman" w:cs="Times New Roman"/>
                                <w:sz w:val="20"/>
                                <w:szCs w:val="20"/>
                              </w:rPr>
                            </w:pPr>
                          </w:p>
                        </w:txbxContent>
                      </v:textbox>
                    </v:shape>
                  </w:pict>
                </mc:Fallback>
              </mc:AlternateContent>
            </w:r>
          </w:p>
          <w:p w:rsidR="003027A0" w:rsidRDefault="00A006A1" w:rsidP="003027A0">
            <w:pPr>
              <w:jc w:val="both"/>
              <w:rPr>
                <w:rFonts w:ascii="Times New Roman" w:eastAsia="Calibri" w:hAnsi="Times New Roman" w:cs="Times New Roman"/>
                <w:sz w:val="24"/>
                <w:szCs w:val="24"/>
              </w:rPr>
            </w:pPr>
            <w:r w:rsidRPr="00E64AEA">
              <w:rPr>
                <w:rFonts w:ascii="Times New Roman" w:eastAsia="Calibri" w:hAnsi="Times New Roman" w:cs="Times New Roman"/>
                <w:noProof/>
                <w:color w:val="000000" w:themeColor="text1"/>
                <w:sz w:val="24"/>
                <w:szCs w:val="24"/>
                <w:lang w:eastAsia="ro-RO"/>
              </w:rPr>
              <mc:AlternateContent>
                <mc:Choice Requires="wps">
                  <w:drawing>
                    <wp:anchor distT="0" distB="0" distL="114300" distR="114300" simplePos="0" relativeHeight="251660288" behindDoc="0" locked="0" layoutInCell="1" allowOverlap="1" wp14:anchorId="76664848" wp14:editId="4CEFEA91">
                      <wp:simplePos x="0" y="0"/>
                      <wp:positionH relativeFrom="column">
                        <wp:posOffset>4288155</wp:posOffset>
                      </wp:positionH>
                      <wp:positionV relativeFrom="paragraph">
                        <wp:posOffset>68792</wp:posOffset>
                      </wp:positionV>
                      <wp:extent cx="2032000" cy="1955800"/>
                      <wp:effectExtent l="0" t="0" r="6350" b="635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55800"/>
                              </a:xfrm>
                              <a:prstGeom prst="rect">
                                <a:avLst/>
                              </a:prstGeom>
                              <a:solidFill>
                                <a:srgbClr val="FFFFFF"/>
                              </a:solidFill>
                              <a:ln w="9525">
                                <a:noFill/>
                                <a:miter lim="800000"/>
                                <a:headEnd/>
                                <a:tailEnd/>
                              </a:ln>
                            </wps:spPr>
                            <wps:txbx>
                              <w:txbxContent>
                                <w:p w:rsidR="003027A0" w:rsidRDefault="003027A0" w:rsidP="003027A0">
                                  <w:pPr>
                                    <w:spacing w:after="0" w:line="240" w:lineRule="auto"/>
                                    <w:jc w:val="right"/>
                                    <w:rPr>
                                      <w:rFonts w:ascii="Times New Roman" w:hAnsi="Times New Roman" w:cs="Times New Roman"/>
                                      <w:sz w:val="24"/>
                                      <w:szCs w:val="24"/>
                                    </w:rPr>
                                  </w:pPr>
                                  <w:r w:rsidRPr="00DF2D27">
                                    <w:rPr>
                                      <w:rFonts w:ascii="Times New Roman" w:hAnsi="Times New Roman" w:cs="Times New Roman"/>
                                      <w:b/>
                                      <w:sz w:val="24"/>
                                      <w:szCs w:val="24"/>
                                      <w:u w:val="single"/>
                                    </w:rPr>
                                    <w:t xml:space="preserve">Solutii </w:t>
                                  </w:r>
                                  <w:r>
                                    <w:rPr>
                                      <w:rFonts w:ascii="Times New Roman" w:hAnsi="Times New Roman" w:cs="Times New Roman"/>
                                      <w:b/>
                                      <w:sz w:val="24"/>
                                      <w:szCs w:val="24"/>
                                      <w:u w:val="single"/>
                                    </w:rPr>
                                    <w:t>Investitionale</w:t>
                                  </w:r>
                                  <w:r w:rsidRPr="00E64AEA">
                                    <w:rPr>
                                      <w:rFonts w:ascii="Times New Roman" w:hAnsi="Times New Roman" w:cs="Times New Roman"/>
                                      <w:sz w:val="24"/>
                                      <w:szCs w:val="24"/>
                                    </w:rPr>
                                    <w:t>:</w:t>
                                  </w:r>
                                </w:p>
                                <w:p w:rsidR="003027A0" w:rsidRPr="002E429D" w:rsidRDefault="003027A0" w:rsidP="003027A0">
                                  <w:pPr>
                                    <w:spacing w:after="0" w:line="240" w:lineRule="auto"/>
                                    <w:jc w:val="right"/>
                                    <w:rPr>
                                      <w:rFonts w:ascii="Times New Roman" w:hAnsi="Times New Roman" w:cs="Times New Roman"/>
                                      <w:sz w:val="16"/>
                                      <w:szCs w:val="24"/>
                                    </w:rPr>
                                  </w:pPr>
                                </w:p>
                                <w:p w:rsidR="003027A0" w:rsidRPr="002E429D" w:rsidRDefault="003027A0" w:rsidP="003027A0">
                                  <w:pPr>
                                    <w:pStyle w:val="ListParagraph"/>
                                    <w:numPr>
                                      <w:ilvl w:val="0"/>
                                      <w:numId w:val="4"/>
                                    </w:numPr>
                                    <w:spacing w:after="0" w:line="240" w:lineRule="auto"/>
                                    <w:ind w:left="284" w:hanging="284"/>
                                    <w:rPr>
                                      <w:rFonts w:ascii="Times New Roman" w:hAnsi="Times New Roman" w:cs="Times New Roman"/>
                                      <w:sz w:val="24"/>
                                      <w:szCs w:val="24"/>
                                    </w:rPr>
                                  </w:pPr>
                                  <w:r>
                                    <w:rPr>
                                      <w:rFonts w:ascii="Times New Roman" w:hAnsi="Times New Roman" w:cs="Times New Roman"/>
                                      <w:sz w:val="20"/>
                                      <w:szCs w:val="20"/>
                                    </w:rPr>
                                    <w:t>vanzarea unor active care nu sunt strategice sau necesare pentru desfasurarea activitatii de baza;</w:t>
                                  </w:r>
                                </w:p>
                                <w:p w:rsidR="003027A0" w:rsidRPr="002E429D" w:rsidRDefault="003027A0" w:rsidP="003027A0">
                                  <w:pPr>
                                    <w:pStyle w:val="ListParagraph"/>
                                    <w:numPr>
                                      <w:ilvl w:val="0"/>
                                      <w:numId w:val="4"/>
                                    </w:numPr>
                                    <w:spacing w:after="0" w:line="240" w:lineRule="auto"/>
                                    <w:ind w:left="284" w:hanging="284"/>
                                    <w:rPr>
                                      <w:rFonts w:ascii="Times New Roman" w:hAnsi="Times New Roman" w:cs="Times New Roman"/>
                                      <w:sz w:val="24"/>
                                      <w:szCs w:val="24"/>
                                    </w:rPr>
                                  </w:pPr>
                                  <w:r>
                                    <w:rPr>
                                      <w:rFonts w:ascii="Times New Roman" w:hAnsi="Times New Roman" w:cs="Times New Roman"/>
                                      <w:sz w:val="20"/>
                                      <w:szCs w:val="20"/>
                                    </w:rPr>
                                    <w:t>Vanzarea unor active strategice (“core assets”) si inchirierea acestora (“sell and lease back”)</w:t>
                                  </w:r>
                                </w:p>
                                <w:p w:rsidR="003027A0" w:rsidRPr="00E64AEA" w:rsidRDefault="003027A0" w:rsidP="003027A0">
                                  <w:pPr>
                                    <w:pStyle w:val="ListParagraph"/>
                                    <w:numPr>
                                      <w:ilvl w:val="0"/>
                                      <w:numId w:val="4"/>
                                    </w:numPr>
                                    <w:spacing w:after="0" w:line="240" w:lineRule="auto"/>
                                    <w:ind w:left="284" w:hanging="284"/>
                                    <w:rPr>
                                      <w:rFonts w:ascii="Times New Roman" w:hAnsi="Times New Roman" w:cs="Times New Roman"/>
                                      <w:sz w:val="24"/>
                                      <w:szCs w:val="24"/>
                                    </w:rPr>
                                  </w:pPr>
                                  <w:r>
                                    <w:rPr>
                                      <w:rFonts w:ascii="Times New Roman" w:hAnsi="Times New Roman" w:cs="Times New Roman"/>
                                      <w:sz w:val="20"/>
                                      <w:szCs w:val="20"/>
                                    </w:rPr>
                                    <w:t>Monetizarea unor investitii pe termen scurt (ex: vanzarea activelor speculative)</w:t>
                                  </w:r>
                                </w:p>
                                <w:p w:rsidR="003027A0" w:rsidRPr="00E64AEA" w:rsidRDefault="003027A0" w:rsidP="003027A0">
                                  <w:pPr>
                                    <w:spacing w:after="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7.65pt;margin-top:5.4pt;width:160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" stroked="f">
                      <v:textbox>
                        <w:txbxContent>
                          <w:p w:rsidR="003027A0" w:rsidRDefault="003027A0" w:rsidP="003027A0">
                            <w:pPr>
                              <w:spacing w:after="0" w:line="240" w:lineRule="auto"/>
                              <w:jc w:val="right"/>
                              <w:rPr>
                                <w:rFonts w:ascii="Times New Roman" w:hAnsi="Times New Roman" w:cs="Times New Roman"/>
                                <w:sz w:val="24"/>
                                <w:szCs w:val="24"/>
                              </w:rPr>
                            </w:pPr>
                            <w:r w:rsidRPr="00DF2D27">
                              <w:rPr>
                                <w:rFonts w:ascii="Times New Roman" w:hAnsi="Times New Roman" w:cs="Times New Roman"/>
                                <w:b/>
                                <w:sz w:val="24"/>
                                <w:szCs w:val="24"/>
                                <w:u w:val="single"/>
                              </w:rPr>
                              <w:t xml:space="preserve">Solutii </w:t>
                            </w:r>
                            <w:r>
                              <w:rPr>
                                <w:rFonts w:ascii="Times New Roman" w:hAnsi="Times New Roman" w:cs="Times New Roman"/>
                                <w:b/>
                                <w:sz w:val="24"/>
                                <w:szCs w:val="24"/>
                                <w:u w:val="single"/>
                              </w:rPr>
                              <w:t>Investitionale</w:t>
                            </w:r>
                            <w:r w:rsidRPr="00E64AEA">
                              <w:rPr>
                                <w:rFonts w:ascii="Times New Roman" w:hAnsi="Times New Roman" w:cs="Times New Roman"/>
                                <w:sz w:val="24"/>
                                <w:szCs w:val="24"/>
                              </w:rPr>
                              <w:t>:</w:t>
                            </w:r>
                          </w:p>
                          <w:p w:rsidR="003027A0" w:rsidRPr="002E429D" w:rsidRDefault="003027A0" w:rsidP="003027A0">
                            <w:pPr>
                              <w:spacing w:after="0" w:line="240" w:lineRule="auto"/>
                              <w:jc w:val="right"/>
                              <w:rPr>
                                <w:rFonts w:ascii="Times New Roman" w:hAnsi="Times New Roman" w:cs="Times New Roman"/>
                                <w:sz w:val="16"/>
                                <w:szCs w:val="24"/>
                              </w:rPr>
                            </w:pPr>
                          </w:p>
                          <w:p w:rsidR="003027A0" w:rsidRPr="002E429D" w:rsidRDefault="003027A0" w:rsidP="003027A0">
                            <w:pPr>
                              <w:pStyle w:val="ListParagraph"/>
                              <w:numPr>
                                <w:ilvl w:val="0"/>
                                <w:numId w:val="4"/>
                              </w:numPr>
                              <w:spacing w:after="0" w:line="240" w:lineRule="auto"/>
                              <w:ind w:left="284" w:hanging="284"/>
                              <w:rPr>
                                <w:rFonts w:ascii="Times New Roman" w:hAnsi="Times New Roman" w:cs="Times New Roman"/>
                                <w:sz w:val="24"/>
                                <w:szCs w:val="24"/>
                              </w:rPr>
                            </w:pPr>
                            <w:r>
                              <w:rPr>
                                <w:rFonts w:ascii="Times New Roman" w:hAnsi="Times New Roman" w:cs="Times New Roman"/>
                                <w:sz w:val="20"/>
                                <w:szCs w:val="20"/>
                              </w:rPr>
                              <w:t>vanzarea unor active care nu sunt strategice sau necesare pentru desfasurarea activitatii de baza;</w:t>
                            </w:r>
                          </w:p>
                          <w:p w:rsidR="003027A0" w:rsidRPr="002E429D" w:rsidRDefault="003027A0" w:rsidP="003027A0">
                            <w:pPr>
                              <w:pStyle w:val="ListParagraph"/>
                              <w:numPr>
                                <w:ilvl w:val="0"/>
                                <w:numId w:val="4"/>
                              </w:numPr>
                              <w:spacing w:after="0" w:line="240" w:lineRule="auto"/>
                              <w:ind w:left="284" w:hanging="284"/>
                              <w:rPr>
                                <w:rFonts w:ascii="Times New Roman" w:hAnsi="Times New Roman" w:cs="Times New Roman"/>
                                <w:sz w:val="24"/>
                                <w:szCs w:val="24"/>
                              </w:rPr>
                            </w:pPr>
                            <w:r>
                              <w:rPr>
                                <w:rFonts w:ascii="Times New Roman" w:hAnsi="Times New Roman" w:cs="Times New Roman"/>
                                <w:sz w:val="20"/>
                                <w:szCs w:val="20"/>
                              </w:rPr>
                              <w:t>Vanzarea unor active strategice (“core assets”) si inchirierea acestora (“sell and lease back”)</w:t>
                            </w:r>
                          </w:p>
                          <w:p w:rsidR="003027A0" w:rsidRPr="00E64AEA" w:rsidRDefault="003027A0" w:rsidP="003027A0">
                            <w:pPr>
                              <w:pStyle w:val="ListParagraph"/>
                              <w:numPr>
                                <w:ilvl w:val="0"/>
                                <w:numId w:val="4"/>
                              </w:numPr>
                              <w:spacing w:after="0" w:line="240" w:lineRule="auto"/>
                              <w:ind w:left="284" w:hanging="284"/>
                              <w:rPr>
                                <w:rFonts w:ascii="Times New Roman" w:hAnsi="Times New Roman" w:cs="Times New Roman"/>
                                <w:sz w:val="24"/>
                                <w:szCs w:val="24"/>
                              </w:rPr>
                            </w:pPr>
                            <w:r>
                              <w:rPr>
                                <w:rFonts w:ascii="Times New Roman" w:hAnsi="Times New Roman" w:cs="Times New Roman"/>
                                <w:sz w:val="20"/>
                                <w:szCs w:val="20"/>
                              </w:rPr>
                              <w:t>Monetizarea unor investitii pe termen scurt (ex: vanzarea activelor speculative)</w:t>
                            </w:r>
                          </w:p>
                          <w:p w:rsidR="003027A0" w:rsidRPr="00E64AEA" w:rsidRDefault="003027A0" w:rsidP="003027A0">
                            <w:pPr>
                              <w:spacing w:after="0" w:line="240" w:lineRule="auto"/>
                              <w:rPr>
                                <w:rFonts w:ascii="Times New Roman" w:hAnsi="Times New Roman" w:cs="Times New Roman"/>
                                <w:sz w:val="24"/>
                                <w:szCs w:val="24"/>
                              </w:rPr>
                            </w:pPr>
                          </w:p>
                        </w:txbxContent>
                      </v:textbox>
                    </v:shape>
                  </w:pict>
                </mc:Fallback>
              </mc:AlternateContent>
            </w:r>
            <w:r w:rsidRPr="00E64AEA">
              <w:rPr>
                <w:rFonts w:ascii="Times New Roman" w:eastAsia="Calibri" w:hAnsi="Times New Roman" w:cs="Times New Roman"/>
                <w:noProof/>
                <w:color w:val="000000" w:themeColor="text1"/>
                <w:sz w:val="24"/>
                <w:szCs w:val="24"/>
                <w:lang w:eastAsia="ro-RO"/>
              </w:rPr>
              <mc:AlternateContent>
                <mc:Choice Requires="wps">
                  <w:drawing>
                    <wp:anchor distT="0" distB="0" distL="114300" distR="114300" simplePos="0" relativeHeight="251661312" behindDoc="0" locked="0" layoutInCell="1" allowOverlap="1" wp14:anchorId="2B06929F" wp14:editId="36339E5A">
                      <wp:simplePos x="0" y="0"/>
                      <wp:positionH relativeFrom="column">
                        <wp:posOffset>-20955</wp:posOffset>
                      </wp:positionH>
                      <wp:positionV relativeFrom="paragraph">
                        <wp:posOffset>61172</wp:posOffset>
                      </wp:positionV>
                      <wp:extent cx="2243455" cy="1955800"/>
                      <wp:effectExtent l="0" t="0" r="4445" b="635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955800"/>
                              </a:xfrm>
                              <a:prstGeom prst="rect">
                                <a:avLst/>
                              </a:prstGeom>
                              <a:solidFill>
                                <a:srgbClr val="FFFFFF"/>
                              </a:solidFill>
                              <a:ln w="9525">
                                <a:noFill/>
                                <a:miter lim="800000"/>
                                <a:headEnd/>
                                <a:tailEnd/>
                              </a:ln>
                            </wps:spPr>
                            <wps:txbx>
                              <w:txbxContent>
                                <w:p w:rsidR="003027A0" w:rsidRDefault="003027A0" w:rsidP="003027A0">
                                  <w:pPr>
                                    <w:spacing w:after="0" w:line="240" w:lineRule="auto"/>
                                    <w:rPr>
                                      <w:rFonts w:ascii="Times New Roman" w:hAnsi="Times New Roman" w:cs="Times New Roman"/>
                                      <w:sz w:val="24"/>
                                      <w:szCs w:val="24"/>
                                    </w:rPr>
                                  </w:pPr>
                                  <w:r w:rsidRPr="00DF2D27">
                                    <w:rPr>
                                      <w:rFonts w:ascii="Times New Roman" w:hAnsi="Times New Roman" w:cs="Times New Roman"/>
                                      <w:b/>
                                      <w:sz w:val="24"/>
                                      <w:szCs w:val="24"/>
                                      <w:u w:val="single"/>
                                    </w:rPr>
                                    <w:t>Solutii Operationale</w:t>
                                  </w:r>
                                  <w:r w:rsidRPr="00E64AEA">
                                    <w:rPr>
                                      <w:rFonts w:ascii="Times New Roman" w:hAnsi="Times New Roman" w:cs="Times New Roman"/>
                                      <w:sz w:val="24"/>
                                      <w:szCs w:val="24"/>
                                    </w:rPr>
                                    <w:t>:</w:t>
                                  </w:r>
                                </w:p>
                                <w:p w:rsidR="003027A0" w:rsidRPr="00870355" w:rsidRDefault="003027A0" w:rsidP="003027A0">
                                  <w:pPr>
                                    <w:spacing w:after="0" w:line="240" w:lineRule="auto"/>
                                    <w:rPr>
                                      <w:rFonts w:ascii="Times New Roman" w:hAnsi="Times New Roman" w:cs="Times New Roman"/>
                                      <w:sz w:val="8"/>
                                      <w:szCs w:val="24"/>
                                    </w:rPr>
                                  </w:pPr>
                                </w:p>
                                <w:p w:rsidR="003027A0" w:rsidRPr="00D3128C" w:rsidRDefault="003027A0" w:rsidP="003027A0">
                                  <w:pPr>
                                    <w:pStyle w:val="ListParagraph"/>
                                    <w:numPr>
                                      <w:ilvl w:val="0"/>
                                      <w:numId w:val="4"/>
                                    </w:numPr>
                                    <w:spacing w:after="0" w:line="240" w:lineRule="auto"/>
                                    <w:ind w:left="284" w:hanging="284"/>
                                    <w:jc w:val="both"/>
                                    <w:rPr>
                                      <w:rFonts w:ascii="Times New Roman" w:hAnsi="Times New Roman" w:cs="Times New Roman"/>
                                      <w:sz w:val="20"/>
                                      <w:szCs w:val="20"/>
                                    </w:rPr>
                                  </w:pPr>
                                  <w:r w:rsidRPr="00D3128C">
                                    <w:rPr>
                                      <w:rFonts w:ascii="Times New Roman" w:hAnsi="Times New Roman" w:cs="Times New Roman"/>
                                      <w:sz w:val="20"/>
                                      <w:szCs w:val="20"/>
                                    </w:rPr>
                                    <w:t>Cresterea profitului</w:t>
                                  </w:r>
                                </w:p>
                                <w:p w:rsidR="003027A0" w:rsidRDefault="003027A0" w:rsidP="003027A0">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o</w:t>
                                  </w:r>
                                  <w:r w:rsidRPr="00D3128C">
                                    <w:rPr>
                                      <w:rFonts w:ascii="Times New Roman" w:hAnsi="Times New Roman" w:cs="Times New Roman"/>
                                      <w:sz w:val="20"/>
                                      <w:szCs w:val="20"/>
                                    </w:rPr>
                                    <w:t xml:space="preserve">perational </w:t>
                                  </w:r>
                                  <w:r>
                                    <w:rPr>
                                      <w:rFonts w:ascii="Times New Roman" w:hAnsi="Times New Roman" w:cs="Times New Roman"/>
                                      <w:sz w:val="20"/>
                                      <w:szCs w:val="20"/>
                                    </w:rPr>
                                    <w:t>(EBIT) prin majorarea pretului, ca si conditionare a extinderii termenului de incasare a facturilor de la clienti;</w:t>
                                  </w:r>
                                </w:p>
                                <w:p w:rsidR="003027A0" w:rsidRDefault="003027A0" w:rsidP="003027A0">
                                  <w:pPr>
                                    <w:pStyle w:val="ListParagraph"/>
                                    <w:numPr>
                                      <w:ilvl w:val="0"/>
                                      <w:numId w:val="4"/>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Reducerea duratei de rotatie a stocurilor prin optimizari logistice;</w:t>
                                  </w:r>
                                </w:p>
                                <w:p w:rsidR="003027A0" w:rsidRPr="00D3128C" w:rsidRDefault="003027A0" w:rsidP="003027A0">
                                  <w:pPr>
                                    <w:pStyle w:val="ListParagraph"/>
                                    <w:numPr>
                                      <w:ilvl w:val="0"/>
                                      <w:numId w:val="4"/>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Extinderea termenului de plata catre furnizori pentru compensarea </w:t>
                                  </w:r>
                                  <w:r w:rsidRPr="00870355">
                                    <w:rPr>
                                      <w:rFonts w:ascii="Times New Roman" w:hAnsi="Times New Roman" w:cs="Times New Roman"/>
                                      <w:b/>
                                      <w:sz w:val="20"/>
                                      <w:szCs w:val="20"/>
                                      <w:u w:val="single"/>
                                    </w:rPr>
                                    <w:t>partiala</w:t>
                                  </w:r>
                                  <w:r>
                                    <w:rPr>
                                      <w:rFonts w:ascii="Times New Roman" w:hAnsi="Times New Roman" w:cs="Times New Roman"/>
                                      <w:sz w:val="20"/>
                                      <w:szCs w:val="20"/>
                                    </w:rPr>
                                    <w:t xml:space="preserve"> a extinderii termenului de colectare a creantelor de la clienti.</w:t>
                                  </w:r>
                                </w:p>
                                <w:p w:rsidR="003027A0" w:rsidRPr="00D3128C" w:rsidRDefault="003027A0" w:rsidP="003027A0">
                                  <w:pPr>
                                    <w:spacing w:after="0"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5pt;margin-top:4.8pt;width:176.6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" stroked="f">
                      <v:textbox>
                        <w:txbxContent>
                          <w:p w:rsidR="003027A0" w:rsidRDefault="003027A0" w:rsidP="003027A0">
                            <w:pPr>
                              <w:spacing w:after="0" w:line="240" w:lineRule="auto"/>
                              <w:rPr>
                                <w:rFonts w:ascii="Times New Roman" w:hAnsi="Times New Roman" w:cs="Times New Roman"/>
                                <w:sz w:val="24"/>
                                <w:szCs w:val="24"/>
                              </w:rPr>
                            </w:pPr>
                            <w:r w:rsidRPr="00DF2D27">
                              <w:rPr>
                                <w:rFonts w:ascii="Times New Roman" w:hAnsi="Times New Roman" w:cs="Times New Roman"/>
                                <w:b/>
                                <w:sz w:val="24"/>
                                <w:szCs w:val="24"/>
                                <w:u w:val="single"/>
                              </w:rPr>
                              <w:t>Solutii Operationale</w:t>
                            </w:r>
                            <w:r w:rsidRPr="00E64AEA">
                              <w:rPr>
                                <w:rFonts w:ascii="Times New Roman" w:hAnsi="Times New Roman" w:cs="Times New Roman"/>
                                <w:sz w:val="24"/>
                                <w:szCs w:val="24"/>
                              </w:rPr>
                              <w:t>:</w:t>
                            </w:r>
                          </w:p>
                          <w:p w:rsidR="003027A0" w:rsidRPr="00870355" w:rsidRDefault="003027A0" w:rsidP="003027A0">
                            <w:pPr>
                              <w:spacing w:after="0" w:line="240" w:lineRule="auto"/>
                              <w:rPr>
                                <w:rFonts w:ascii="Times New Roman" w:hAnsi="Times New Roman" w:cs="Times New Roman"/>
                                <w:sz w:val="8"/>
                                <w:szCs w:val="24"/>
                              </w:rPr>
                            </w:pPr>
                          </w:p>
                          <w:p w:rsidR="003027A0" w:rsidRPr="00D3128C" w:rsidRDefault="003027A0" w:rsidP="003027A0">
                            <w:pPr>
                              <w:pStyle w:val="ListParagraph"/>
                              <w:numPr>
                                <w:ilvl w:val="0"/>
                                <w:numId w:val="4"/>
                              </w:numPr>
                              <w:spacing w:after="0" w:line="240" w:lineRule="auto"/>
                              <w:ind w:left="284" w:hanging="284"/>
                              <w:jc w:val="both"/>
                              <w:rPr>
                                <w:rFonts w:ascii="Times New Roman" w:hAnsi="Times New Roman" w:cs="Times New Roman"/>
                                <w:sz w:val="20"/>
                                <w:szCs w:val="20"/>
                              </w:rPr>
                            </w:pPr>
                            <w:r w:rsidRPr="00D3128C">
                              <w:rPr>
                                <w:rFonts w:ascii="Times New Roman" w:hAnsi="Times New Roman" w:cs="Times New Roman"/>
                                <w:sz w:val="20"/>
                                <w:szCs w:val="20"/>
                              </w:rPr>
                              <w:t>Cresterea profitului</w:t>
                            </w:r>
                          </w:p>
                          <w:p w:rsidR="003027A0" w:rsidRDefault="003027A0" w:rsidP="003027A0">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o</w:t>
                            </w:r>
                            <w:r w:rsidRPr="00D3128C">
                              <w:rPr>
                                <w:rFonts w:ascii="Times New Roman" w:hAnsi="Times New Roman" w:cs="Times New Roman"/>
                                <w:sz w:val="20"/>
                                <w:szCs w:val="20"/>
                              </w:rPr>
                              <w:t xml:space="preserve">perational </w:t>
                            </w:r>
                            <w:r>
                              <w:rPr>
                                <w:rFonts w:ascii="Times New Roman" w:hAnsi="Times New Roman" w:cs="Times New Roman"/>
                                <w:sz w:val="20"/>
                                <w:szCs w:val="20"/>
                              </w:rPr>
                              <w:t>(EBIT) prin majorarea pretului, ca si conditionare a extinderii termenului de incasare a facturilor de la clienti;</w:t>
                            </w:r>
                          </w:p>
                          <w:p w:rsidR="003027A0" w:rsidRDefault="003027A0" w:rsidP="003027A0">
                            <w:pPr>
                              <w:pStyle w:val="ListParagraph"/>
                              <w:numPr>
                                <w:ilvl w:val="0"/>
                                <w:numId w:val="4"/>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Reducerea duratei de rotatie a stocurilor prin optimizari logistice;</w:t>
                            </w:r>
                          </w:p>
                          <w:p w:rsidR="003027A0" w:rsidRPr="00D3128C" w:rsidRDefault="003027A0" w:rsidP="003027A0">
                            <w:pPr>
                              <w:pStyle w:val="ListParagraph"/>
                              <w:numPr>
                                <w:ilvl w:val="0"/>
                                <w:numId w:val="4"/>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Extinderea termenului de plata catre furnizori pentru compensarea </w:t>
                            </w:r>
                            <w:r w:rsidRPr="00870355">
                              <w:rPr>
                                <w:rFonts w:ascii="Times New Roman" w:hAnsi="Times New Roman" w:cs="Times New Roman"/>
                                <w:b/>
                                <w:sz w:val="20"/>
                                <w:szCs w:val="20"/>
                                <w:u w:val="single"/>
                              </w:rPr>
                              <w:t>partiala</w:t>
                            </w:r>
                            <w:r>
                              <w:rPr>
                                <w:rFonts w:ascii="Times New Roman" w:hAnsi="Times New Roman" w:cs="Times New Roman"/>
                                <w:sz w:val="20"/>
                                <w:szCs w:val="20"/>
                              </w:rPr>
                              <w:t xml:space="preserve"> a extinderii termenului de colectare a creantelor de la clienti.</w:t>
                            </w:r>
                          </w:p>
                          <w:p w:rsidR="003027A0" w:rsidRPr="00D3128C" w:rsidRDefault="003027A0" w:rsidP="003027A0">
                            <w:pPr>
                              <w:spacing w:after="0" w:line="240" w:lineRule="auto"/>
                              <w:rPr>
                                <w:rFonts w:ascii="Times New Roman" w:hAnsi="Times New Roman" w:cs="Times New Roman"/>
                                <w:sz w:val="20"/>
                                <w:szCs w:val="20"/>
                              </w:rPr>
                            </w:pPr>
                          </w:p>
                        </w:txbxContent>
                      </v:textbox>
                    </v:shape>
                  </w:pict>
                </mc:Fallback>
              </mc:AlternateContent>
            </w:r>
          </w:p>
          <w:p w:rsidR="003027A0" w:rsidRDefault="003027A0" w:rsidP="003027A0">
            <w:pPr>
              <w:jc w:val="both"/>
              <w:rPr>
                <w:rFonts w:ascii="Times New Roman" w:eastAsia="Calibri" w:hAnsi="Times New Roman" w:cs="Times New Roman"/>
                <w:sz w:val="24"/>
                <w:szCs w:val="24"/>
              </w:rPr>
            </w:pPr>
          </w:p>
          <w:p w:rsidR="003027A0" w:rsidRDefault="003027A0" w:rsidP="003027A0">
            <w:pPr>
              <w:jc w:val="both"/>
              <w:rPr>
                <w:rFonts w:ascii="Times New Roman" w:eastAsia="Calibri" w:hAnsi="Times New Roman" w:cs="Times New Roman"/>
                <w:sz w:val="24"/>
                <w:szCs w:val="24"/>
              </w:rPr>
            </w:pPr>
          </w:p>
          <w:p w:rsidR="003027A0" w:rsidRDefault="003027A0" w:rsidP="003027A0">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o-RO"/>
              </w:rPr>
              <mc:AlternateContent>
                <mc:Choice Requires="wps">
                  <w:drawing>
                    <wp:anchor distT="0" distB="0" distL="114300" distR="114300" simplePos="0" relativeHeight="251666432" behindDoc="0" locked="0" layoutInCell="1" allowOverlap="1" wp14:anchorId="754EAC32" wp14:editId="663101A2">
                      <wp:simplePos x="0" y="0"/>
                      <wp:positionH relativeFrom="column">
                        <wp:posOffset>4088130</wp:posOffset>
                      </wp:positionH>
                      <wp:positionV relativeFrom="paragraph">
                        <wp:posOffset>81915</wp:posOffset>
                      </wp:positionV>
                      <wp:extent cx="0" cy="1456055"/>
                      <wp:effectExtent l="95250" t="0" r="76200" b="48895"/>
                      <wp:wrapNone/>
                      <wp:docPr id="344" name="Straight Arrow Connector 344"/>
                      <wp:cNvGraphicFramePr/>
                      <a:graphic xmlns:a="http://schemas.openxmlformats.org/drawingml/2006/main">
                        <a:graphicData uri="http://schemas.microsoft.com/office/word/2010/wordprocessingShape">
                          <wps:wsp>
                            <wps:cNvCnPr/>
                            <wps:spPr>
                              <a:xfrm flipH="1">
                                <a:off x="0" y="0"/>
                                <a:ext cx="0" cy="1456055"/>
                              </a:xfrm>
                              <a:prstGeom prst="straightConnector1">
                                <a:avLst/>
                              </a:prstGeom>
                              <a:ln w="1270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4" o:spid="_x0000_s1026" type="#_x0000_t32" style="position:absolute;margin-left:321.9pt;margin-top:6.45pt;width:0;height:114.65p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" strokecolor="#4579b8 [3044]" strokeweight="1pt">
                      <v:stroke dashstyle="dash" endarrow="open"/>
                    </v:shape>
                  </w:pict>
                </mc:Fallback>
              </mc:AlternateContent>
            </w:r>
            <w:r>
              <w:rPr>
                <w:rFonts w:ascii="Times New Roman" w:eastAsia="Calibri" w:hAnsi="Times New Roman" w:cs="Times New Roman"/>
                <w:noProof/>
                <w:sz w:val="24"/>
                <w:szCs w:val="24"/>
                <w:lang w:eastAsia="ro-RO"/>
              </w:rPr>
              <mc:AlternateContent>
                <mc:Choice Requires="wps">
                  <w:drawing>
                    <wp:anchor distT="0" distB="0" distL="114300" distR="114300" simplePos="0" relativeHeight="251668480" behindDoc="0" locked="0" layoutInCell="1" allowOverlap="1" wp14:anchorId="01188D48" wp14:editId="25F0A613">
                      <wp:simplePos x="0" y="0"/>
                      <wp:positionH relativeFrom="column">
                        <wp:posOffset>4012565</wp:posOffset>
                      </wp:positionH>
                      <wp:positionV relativeFrom="paragraph">
                        <wp:posOffset>13335</wp:posOffset>
                      </wp:positionV>
                      <wp:extent cx="0" cy="1456055"/>
                      <wp:effectExtent l="95250" t="38100" r="57150" b="10795"/>
                      <wp:wrapNone/>
                      <wp:docPr id="346" name="Straight Arrow Connector 346"/>
                      <wp:cNvGraphicFramePr/>
                      <a:graphic xmlns:a="http://schemas.openxmlformats.org/drawingml/2006/main">
                        <a:graphicData uri="http://schemas.microsoft.com/office/word/2010/wordprocessingShape">
                          <wps:wsp>
                            <wps:cNvCnPr/>
                            <wps:spPr>
                              <a:xfrm flipV="1">
                                <a:off x="0" y="0"/>
                                <a:ext cx="0" cy="1456055"/>
                              </a:xfrm>
                              <a:prstGeom prst="straightConnector1">
                                <a:avLst/>
                              </a:prstGeom>
                              <a:ln w="1270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6" o:spid="_x0000_s1026" type="#_x0000_t32" style="position:absolute;margin-left:315.95pt;margin-top:1.05pt;width:0;height:114.6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" strokecolor="#4579b8 [3044]" strokeweight="1pt">
                      <v:stroke dashstyle="dash" endarrow="open"/>
                    </v:shape>
                  </w:pict>
                </mc:Fallback>
              </mc:AlternateContent>
            </w:r>
            <w:r>
              <w:rPr>
                <w:rFonts w:ascii="Times New Roman" w:eastAsia="Calibri" w:hAnsi="Times New Roman" w:cs="Times New Roman"/>
                <w:noProof/>
                <w:sz w:val="24"/>
                <w:szCs w:val="24"/>
                <w:lang w:eastAsia="ro-RO"/>
              </w:rPr>
              <mc:AlternateContent>
                <mc:Choice Requires="wps">
                  <w:drawing>
                    <wp:anchor distT="0" distB="0" distL="114300" distR="114300" simplePos="0" relativeHeight="251667456" behindDoc="0" locked="0" layoutInCell="1" allowOverlap="1" wp14:anchorId="1C1FF31C" wp14:editId="10BE2DBD">
                      <wp:simplePos x="0" y="0"/>
                      <wp:positionH relativeFrom="column">
                        <wp:posOffset>2417445</wp:posOffset>
                      </wp:positionH>
                      <wp:positionV relativeFrom="paragraph">
                        <wp:posOffset>13970</wp:posOffset>
                      </wp:positionV>
                      <wp:extent cx="0" cy="1456055"/>
                      <wp:effectExtent l="95250" t="38100" r="57150" b="10795"/>
                      <wp:wrapNone/>
                      <wp:docPr id="345" name="Straight Arrow Connector 345"/>
                      <wp:cNvGraphicFramePr/>
                      <a:graphic xmlns:a="http://schemas.openxmlformats.org/drawingml/2006/main">
                        <a:graphicData uri="http://schemas.microsoft.com/office/word/2010/wordprocessingShape">
                          <wps:wsp>
                            <wps:cNvCnPr/>
                            <wps:spPr>
                              <a:xfrm flipV="1">
                                <a:off x="0" y="0"/>
                                <a:ext cx="0" cy="1456055"/>
                              </a:xfrm>
                              <a:prstGeom prst="straightConnector1">
                                <a:avLst/>
                              </a:prstGeom>
                              <a:ln w="1270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5" o:spid="_x0000_s1026" type="#_x0000_t32" style="position:absolute;margin-left:190.35pt;margin-top:1.1pt;width:0;height:114.6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" strokecolor="#4579b8 [3044]" strokeweight="1pt">
                      <v:stroke dashstyle="dash" endarrow="open"/>
                    </v:shape>
                  </w:pict>
                </mc:Fallback>
              </mc:AlternateContent>
            </w:r>
            <w:r>
              <w:rPr>
                <w:rFonts w:ascii="Times New Roman" w:eastAsia="Calibri" w:hAnsi="Times New Roman" w:cs="Times New Roman"/>
                <w:noProof/>
                <w:sz w:val="24"/>
                <w:szCs w:val="24"/>
                <w:lang w:eastAsia="ro-RO"/>
              </w:rPr>
              <mc:AlternateContent>
                <mc:Choice Requires="wps">
                  <w:drawing>
                    <wp:anchor distT="0" distB="0" distL="114300" distR="114300" simplePos="0" relativeHeight="251665408" behindDoc="0" locked="0" layoutInCell="1" allowOverlap="1" wp14:anchorId="6AED5C19" wp14:editId="2EF328A0">
                      <wp:simplePos x="0" y="0"/>
                      <wp:positionH relativeFrom="column">
                        <wp:posOffset>2305050</wp:posOffset>
                      </wp:positionH>
                      <wp:positionV relativeFrom="paragraph">
                        <wp:posOffset>22225</wp:posOffset>
                      </wp:positionV>
                      <wp:extent cx="0" cy="1456055"/>
                      <wp:effectExtent l="95250" t="0" r="76200" b="48895"/>
                      <wp:wrapNone/>
                      <wp:docPr id="343" name="Straight Arrow Connector 343"/>
                      <wp:cNvGraphicFramePr/>
                      <a:graphic xmlns:a="http://schemas.openxmlformats.org/drawingml/2006/main">
                        <a:graphicData uri="http://schemas.microsoft.com/office/word/2010/wordprocessingShape">
                          <wps:wsp>
                            <wps:cNvCnPr/>
                            <wps:spPr>
                              <a:xfrm flipH="1">
                                <a:off x="0" y="0"/>
                                <a:ext cx="0" cy="1456055"/>
                              </a:xfrm>
                              <a:prstGeom prst="straightConnector1">
                                <a:avLst/>
                              </a:prstGeom>
                              <a:ln w="1270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43" o:spid="_x0000_s1026" type="#_x0000_t32" style="position:absolute;margin-left:181.5pt;margin-top:1.75pt;width:0;height:114.6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" strokecolor="#4579b8 [3044]" strokeweight="1pt">
                      <v:stroke dashstyle="dash" endarrow="open"/>
                    </v:shape>
                  </w:pict>
                </mc:Fallback>
              </mc:AlternateContent>
            </w:r>
            <w:r w:rsidRPr="00E64AEA">
              <w:rPr>
                <w:rFonts w:ascii="Times New Roman" w:eastAsia="Calibri" w:hAnsi="Times New Roman" w:cs="Times New Roman"/>
                <w:noProof/>
                <w:color w:val="000000" w:themeColor="text1"/>
                <w:sz w:val="24"/>
                <w:szCs w:val="24"/>
                <w:lang w:eastAsia="ro-RO"/>
              </w:rPr>
              <mc:AlternateContent>
                <mc:Choice Requires="wps">
                  <w:drawing>
                    <wp:anchor distT="0" distB="0" distL="114300" distR="114300" simplePos="0" relativeHeight="251659264" behindDoc="0" locked="0" layoutInCell="1" allowOverlap="1" wp14:anchorId="416A55D2" wp14:editId="276B2F02">
                      <wp:simplePos x="0" y="0"/>
                      <wp:positionH relativeFrom="column">
                        <wp:posOffset>2356485</wp:posOffset>
                      </wp:positionH>
                      <wp:positionV relativeFrom="paragraph">
                        <wp:posOffset>20743</wp:posOffset>
                      </wp:positionV>
                      <wp:extent cx="1650365" cy="1955800"/>
                      <wp:effectExtent l="0" t="0" r="6985" b="635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955800"/>
                              </a:xfrm>
                              <a:prstGeom prst="rect">
                                <a:avLst/>
                              </a:prstGeom>
                              <a:solidFill>
                                <a:srgbClr val="FFFFFF"/>
                              </a:solidFill>
                              <a:ln w="9525">
                                <a:noFill/>
                                <a:miter lim="800000"/>
                                <a:headEnd/>
                                <a:tailEnd/>
                              </a:ln>
                            </wps:spPr>
                            <wps:txbx>
                              <w:txbxContent>
                                <w:p w:rsidR="003027A0" w:rsidRDefault="003027A0" w:rsidP="003027A0">
                                  <w:pPr>
                                    <w:spacing w:after="0" w:line="240" w:lineRule="auto"/>
                                    <w:jc w:val="right"/>
                                    <w:rPr>
                                      <w:rFonts w:ascii="Times New Roman" w:hAnsi="Times New Roman" w:cs="Times New Roman"/>
                                      <w:sz w:val="24"/>
                                      <w:szCs w:val="24"/>
                                    </w:rPr>
                                  </w:pPr>
                                  <w:r w:rsidRPr="00DF2D27">
                                    <w:rPr>
                                      <w:rFonts w:ascii="Times New Roman" w:hAnsi="Times New Roman" w:cs="Times New Roman"/>
                                      <w:b/>
                                      <w:sz w:val="24"/>
                                      <w:szCs w:val="24"/>
                                      <w:u w:val="single"/>
                                    </w:rPr>
                                    <w:t xml:space="preserve">Solutii </w:t>
                                  </w:r>
                                  <w:r>
                                    <w:rPr>
                                      <w:rFonts w:ascii="Times New Roman" w:hAnsi="Times New Roman" w:cs="Times New Roman"/>
                                      <w:b/>
                                      <w:sz w:val="24"/>
                                      <w:szCs w:val="24"/>
                                      <w:u w:val="single"/>
                                    </w:rPr>
                                    <w:t>Financiare</w:t>
                                  </w:r>
                                  <w:r w:rsidRPr="00E64AEA">
                                    <w:rPr>
                                      <w:rFonts w:ascii="Times New Roman" w:hAnsi="Times New Roman" w:cs="Times New Roman"/>
                                      <w:sz w:val="24"/>
                                      <w:szCs w:val="24"/>
                                    </w:rPr>
                                    <w:t>:</w:t>
                                  </w:r>
                                </w:p>
                                <w:p w:rsidR="003027A0" w:rsidRPr="002E429D" w:rsidRDefault="003027A0" w:rsidP="003027A0">
                                  <w:pPr>
                                    <w:spacing w:after="0" w:line="240" w:lineRule="auto"/>
                                    <w:jc w:val="right"/>
                                    <w:rPr>
                                      <w:rFonts w:ascii="Times New Roman" w:hAnsi="Times New Roman" w:cs="Times New Roman"/>
                                      <w:sz w:val="16"/>
                                      <w:szCs w:val="24"/>
                                    </w:rPr>
                                  </w:pPr>
                                </w:p>
                                <w:p w:rsidR="003027A0" w:rsidRPr="002E429D" w:rsidRDefault="003027A0" w:rsidP="003027A0">
                                  <w:pPr>
                                    <w:pStyle w:val="ListParagraph"/>
                                    <w:numPr>
                                      <w:ilvl w:val="0"/>
                                      <w:numId w:val="4"/>
                                    </w:numPr>
                                    <w:spacing w:after="0" w:line="240" w:lineRule="auto"/>
                                    <w:ind w:left="284" w:hanging="284"/>
                                    <w:rPr>
                                      <w:rFonts w:ascii="Times New Roman" w:hAnsi="Times New Roman" w:cs="Times New Roman"/>
                                      <w:sz w:val="20"/>
                                      <w:szCs w:val="20"/>
                                    </w:rPr>
                                  </w:pPr>
                                  <w:r w:rsidRPr="002E429D">
                                    <w:rPr>
                                      <w:rFonts w:ascii="Times New Roman" w:hAnsi="Times New Roman" w:cs="Times New Roman"/>
                                      <w:sz w:val="20"/>
                                      <w:szCs w:val="20"/>
                                    </w:rPr>
                                    <w:t>Reinvestirea</w:t>
                                  </w:r>
                                  <w:r>
                                    <w:rPr>
                                      <w:rFonts w:ascii="Times New Roman" w:hAnsi="Times New Roman" w:cs="Times New Roman"/>
                                      <w:sz w:val="20"/>
                                      <w:szCs w:val="20"/>
                                    </w:rPr>
                                    <w:t xml:space="preserve"> profiturilor si amanarea distribuirii dividendelor; </w:t>
                                  </w:r>
                                </w:p>
                                <w:p w:rsidR="003027A0" w:rsidRPr="002E429D" w:rsidRDefault="003027A0" w:rsidP="003027A0">
                                  <w:pPr>
                                    <w:pStyle w:val="ListParagraph"/>
                                    <w:numPr>
                                      <w:ilvl w:val="0"/>
                                      <w:numId w:val="4"/>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Contractarea unui credit bancar pentru finantarea capitalului de lucru pe termen scurt;</w:t>
                                  </w:r>
                                </w:p>
                                <w:p w:rsidR="003027A0" w:rsidRPr="00E64AEA" w:rsidRDefault="003027A0" w:rsidP="003027A0">
                                  <w:pPr>
                                    <w:spacing w:after="0" w:line="240" w:lineRule="auto"/>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5.55pt;margin-top:1.65pt;width:129.9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" stroked="f">
                      <v:textbox>
                        <w:txbxContent>
                          <w:p w:rsidR="003027A0" w:rsidRDefault="003027A0" w:rsidP="003027A0">
                            <w:pPr>
                              <w:spacing w:after="0" w:line="240" w:lineRule="auto"/>
                              <w:jc w:val="right"/>
                              <w:rPr>
                                <w:rFonts w:ascii="Times New Roman" w:hAnsi="Times New Roman" w:cs="Times New Roman"/>
                                <w:sz w:val="24"/>
                                <w:szCs w:val="24"/>
                              </w:rPr>
                            </w:pPr>
                            <w:r w:rsidRPr="00DF2D27">
                              <w:rPr>
                                <w:rFonts w:ascii="Times New Roman" w:hAnsi="Times New Roman" w:cs="Times New Roman"/>
                                <w:b/>
                                <w:sz w:val="24"/>
                                <w:szCs w:val="24"/>
                                <w:u w:val="single"/>
                              </w:rPr>
                              <w:t xml:space="preserve">Solutii </w:t>
                            </w:r>
                            <w:r>
                              <w:rPr>
                                <w:rFonts w:ascii="Times New Roman" w:hAnsi="Times New Roman" w:cs="Times New Roman"/>
                                <w:b/>
                                <w:sz w:val="24"/>
                                <w:szCs w:val="24"/>
                                <w:u w:val="single"/>
                              </w:rPr>
                              <w:t>Financiare</w:t>
                            </w:r>
                            <w:r w:rsidRPr="00E64AEA">
                              <w:rPr>
                                <w:rFonts w:ascii="Times New Roman" w:hAnsi="Times New Roman" w:cs="Times New Roman"/>
                                <w:sz w:val="24"/>
                                <w:szCs w:val="24"/>
                              </w:rPr>
                              <w:t>:</w:t>
                            </w:r>
                          </w:p>
                          <w:p w:rsidR="003027A0" w:rsidRPr="002E429D" w:rsidRDefault="003027A0" w:rsidP="003027A0">
                            <w:pPr>
                              <w:spacing w:after="0" w:line="240" w:lineRule="auto"/>
                              <w:jc w:val="right"/>
                              <w:rPr>
                                <w:rFonts w:ascii="Times New Roman" w:hAnsi="Times New Roman" w:cs="Times New Roman"/>
                                <w:sz w:val="16"/>
                                <w:szCs w:val="24"/>
                              </w:rPr>
                            </w:pPr>
                          </w:p>
                          <w:p w:rsidR="003027A0" w:rsidRPr="002E429D" w:rsidRDefault="003027A0" w:rsidP="003027A0">
                            <w:pPr>
                              <w:pStyle w:val="ListParagraph"/>
                              <w:numPr>
                                <w:ilvl w:val="0"/>
                                <w:numId w:val="4"/>
                              </w:numPr>
                              <w:spacing w:after="0" w:line="240" w:lineRule="auto"/>
                              <w:ind w:left="284" w:hanging="284"/>
                              <w:rPr>
                                <w:rFonts w:ascii="Times New Roman" w:hAnsi="Times New Roman" w:cs="Times New Roman"/>
                                <w:sz w:val="20"/>
                                <w:szCs w:val="20"/>
                              </w:rPr>
                            </w:pPr>
                            <w:r w:rsidRPr="002E429D">
                              <w:rPr>
                                <w:rFonts w:ascii="Times New Roman" w:hAnsi="Times New Roman" w:cs="Times New Roman"/>
                                <w:sz w:val="20"/>
                                <w:szCs w:val="20"/>
                              </w:rPr>
                              <w:t>Reinvestirea</w:t>
                            </w:r>
                            <w:r>
                              <w:rPr>
                                <w:rFonts w:ascii="Times New Roman" w:hAnsi="Times New Roman" w:cs="Times New Roman"/>
                                <w:sz w:val="20"/>
                                <w:szCs w:val="20"/>
                              </w:rPr>
                              <w:t xml:space="preserve"> profiturilor si amanarea distribuirii dividendelor; </w:t>
                            </w:r>
                          </w:p>
                          <w:p w:rsidR="003027A0" w:rsidRPr="002E429D" w:rsidRDefault="003027A0" w:rsidP="003027A0">
                            <w:pPr>
                              <w:pStyle w:val="ListParagraph"/>
                              <w:numPr>
                                <w:ilvl w:val="0"/>
                                <w:numId w:val="4"/>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Contractarea unui credit bancar pentru finantarea capitalului de lucru pe termen scurt;</w:t>
                            </w:r>
                          </w:p>
                          <w:p w:rsidR="003027A0" w:rsidRPr="00E64AEA" w:rsidRDefault="003027A0" w:rsidP="003027A0">
                            <w:pPr>
                              <w:spacing w:after="0" w:line="240" w:lineRule="auto"/>
                              <w:jc w:val="both"/>
                              <w:rPr>
                                <w:rFonts w:ascii="Times New Roman" w:hAnsi="Times New Roman" w:cs="Times New Roman"/>
                                <w:sz w:val="24"/>
                                <w:szCs w:val="24"/>
                              </w:rPr>
                            </w:pPr>
                          </w:p>
                        </w:txbxContent>
                      </v:textbox>
                    </v:shape>
                  </w:pict>
                </mc:Fallback>
              </mc:AlternateContent>
            </w:r>
          </w:p>
          <w:p w:rsidR="003027A0" w:rsidRDefault="003027A0" w:rsidP="003027A0">
            <w:pPr>
              <w:jc w:val="both"/>
              <w:rPr>
                <w:rFonts w:ascii="Times New Roman" w:eastAsia="Calibri" w:hAnsi="Times New Roman" w:cs="Times New Roman"/>
                <w:sz w:val="24"/>
                <w:szCs w:val="24"/>
              </w:rPr>
            </w:pPr>
          </w:p>
          <w:p w:rsidR="003027A0" w:rsidRDefault="003027A0" w:rsidP="003027A0">
            <w:pPr>
              <w:jc w:val="both"/>
              <w:rPr>
                <w:rFonts w:ascii="Times New Roman" w:eastAsia="Calibri" w:hAnsi="Times New Roman" w:cs="Times New Roman"/>
                <w:sz w:val="24"/>
                <w:szCs w:val="24"/>
              </w:rPr>
            </w:pPr>
          </w:p>
          <w:p w:rsidR="003027A0" w:rsidRDefault="003027A0" w:rsidP="003027A0">
            <w:pPr>
              <w:jc w:val="both"/>
              <w:rPr>
                <w:rFonts w:ascii="Times New Roman" w:eastAsia="Calibri" w:hAnsi="Times New Roman" w:cs="Times New Roman"/>
                <w:sz w:val="24"/>
                <w:szCs w:val="24"/>
              </w:rPr>
            </w:pPr>
          </w:p>
          <w:p w:rsidR="003027A0" w:rsidRDefault="003027A0" w:rsidP="003027A0">
            <w:pPr>
              <w:jc w:val="both"/>
              <w:rPr>
                <w:rFonts w:ascii="Times New Roman" w:eastAsia="Calibri" w:hAnsi="Times New Roman" w:cs="Times New Roman"/>
                <w:sz w:val="24"/>
                <w:szCs w:val="24"/>
              </w:rPr>
            </w:pPr>
          </w:p>
          <w:p w:rsidR="003027A0" w:rsidRDefault="003027A0" w:rsidP="003027A0">
            <w:pPr>
              <w:jc w:val="both"/>
              <w:rPr>
                <w:rFonts w:ascii="Times New Roman" w:eastAsia="Calibri" w:hAnsi="Times New Roman" w:cs="Times New Roman"/>
                <w:sz w:val="24"/>
                <w:szCs w:val="24"/>
              </w:rPr>
            </w:pPr>
          </w:p>
          <w:p w:rsidR="003027A0" w:rsidRDefault="003027A0" w:rsidP="003027A0">
            <w:pPr>
              <w:jc w:val="both"/>
              <w:rPr>
                <w:rFonts w:ascii="Times New Roman" w:eastAsia="Calibri" w:hAnsi="Times New Roman" w:cs="Times New Roman"/>
                <w:sz w:val="24"/>
                <w:szCs w:val="24"/>
              </w:rPr>
            </w:pPr>
          </w:p>
          <w:p w:rsidR="003027A0" w:rsidRDefault="003027A0" w:rsidP="003027A0">
            <w:pPr>
              <w:jc w:val="both"/>
              <w:rPr>
                <w:rFonts w:ascii="Times New Roman" w:eastAsia="Calibri" w:hAnsi="Times New Roman" w:cs="Times New Roman"/>
                <w:sz w:val="24"/>
                <w:szCs w:val="24"/>
              </w:rPr>
            </w:pPr>
            <w:r w:rsidRPr="00990CCB">
              <w:rPr>
                <w:rFonts w:ascii="Times New Roman" w:eastAsia="Calibri" w:hAnsi="Times New Roman" w:cs="Times New Roman"/>
                <w:noProof/>
                <w:sz w:val="24"/>
                <w:szCs w:val="24"/>
                <w:lang w:eastAsia="ro-RO"/>
              </w:rPr>
              <mc:AlternateContent>
                <mc:Choice Requires="wps">
                  <w:drawing>
                    <wp:anchor distT="0" distB="0" distL="114300" distR="114300" simplePos="0" relativeHeight="251662336" behindDoc="0" locked="0" layoutInCell="1" allowOverlap="1" wp14:anchorId="55F731C6" wp14:editId="073D4ECD">
                      <wp:simplePos x="0" y="0"/>
                      <wp:positionH relativeFrom="column">
                        <wp:posOffset>55245</wp:posOffset>
                      </wp:positionH>
                      <wp:positionV relativeFrom="paragraph">
                        <wp:posOffset>307975</wp:posOffset>
                      </wp:positionV>
                      <wp:extent cx="2362200" cy="837565"/>
                      <wp:effectExtent l="0" t="0" r="19050" b="1968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37565"/>
                              </a:xfrm>
                              <a:prstGeom prst="rect">
                                <a:avLst/>
                              </a:prstGeom>
                              <a:solidFill>
                                <a:srgbClr val="FFFFFF"/>
                              </a:solidFill>
                              <a:ln w="9525">
                                <a:solidFill>
                                  <a:srgbClr val="000000"/>
                                </a:solidFill>
                                <a:miter lim="800000"/>
                                <a:headEnd/>
                                <a:tailEnd/>
                              </a:ln>
                            </wps:spPr>
                            <wps:txbx>
                              <w:txbxContent>
                                <w:p w:rsidR="003027A0" w:rsidRPr="00990CCB" w:rsidRDefault="003027A0" w:rsidP="003027A0">
                                  <w:pPr>
                                    <w:spacing w:after="0" w:line="240" w:lineRule="auto"/>
                                    <w:jc w:val="both"/>
                                    <w:rPr>
                                      <w:rFonts w:ascii="Times New Roman" w:hAnsi="Times New Roman" w:cs="Times New Roman"/>
                                      <w:sz w:val="20"/>
                                      <w:szCs w:val="20"/>
                                    </w:rPr>
                                  </w:pPr>
                                  <w:r w:rsidRPr="00990CCB">
                                    <w:rPr>
                                      <w:rFonts w:ascii="Times New Roman" w:hAnsi="Times New Roman" w:cs="Times New Roman"/>
                                      <w:sz w:val="20"/>
                                      <w:szCs w:val="20"/>
                                    </w:rPr>
                                    <w:t>CFO = Incasari – Plati Operationale</w:t>
                                  </w:r>
                                </w:p>
                                <w:p w:rsidR="003027A0" w:rsidRDefault="003027A0" w:rsidP="003027A0">
                                  <w:pPr>
                                    <w:spacing w:after="0" w:line="240" w:lineRule="auto"/>
                                    <w:jc w:val="both"/>
                                    <w:rPr>
                                      <w:rFonts w:ascii="Times New Roman" w:hAnsi="Times New Roman" w:cs="Times New Roman"/>
                                      <w:sz w:val="20"/>
                                      <w:szCs w:val="20"/>
                                    </w:rPr>
                                  </w:pPr>
                                  <w:r w:rsidRPr="00990CCB">
                                    <w:rPr>
                                      <w:rFonts w:ascii="Times New Roman" w:hAnsi="Times New Roman" w:cs="Times New Roman"/>
                                      <w:sz w:val="20"/>
                                      <w:szCs w:val="20"/>
                                    </w:rPr>
                                    <w:t xml:space="preserve">= EBIT + Cheltuieli </w:t>
                                  </w:r>
                                  <w:r>
                                    <w:rPr>
                                      <w:rFonts w:ascii="Times New Roman" w:hAnsi="Times New Roman" w:cs="Times New Roman"/>
                                      <w:sz w:val="20"/>
                                      <w:szCs w:val="20"/>
                                    </w:rPr>
                                    <w:t xml:space="preserve">Nonmonetare </w:t>
                                  </w:r>
                                </w:p>
                                <w:p w:rsidR="003027A0" w:rsidRPr="00990CCB" w:rsidRDefault="003027A0" w:rsidP="003027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Pr="00990CCB">
                                    <w:rPr>
                                      <w:rFonts w:ascii="Times New Roman" w:hAnsi="Times New Roman" w:cs="Times New Roman"/>
                                      <w:sz w:val="20"/>
                                      <w:szCs w:val="20"/>
                                    </w:rPr>
                                    <w:t xml:space="preserve">Ch. </w:t>
                                  </w:r>
                                  <w:r>
                                    <w:rPr>
                                      <w:rFonts w:ascii="Times New Roman" w:hAnsi="Times New Roman" w:cs="Times New Roman"/>
                                      <w:sz w:val="20"/>
                                      <w:szCs w:val="20"/>
                                    </w:rPr>
                                    <w:t>Dobanda x (1-t) – Impozit</w:t>
                                  </w:r>
                                </w:p>
                                <w:p w:rsidR="003027A0" w:rsidRPr="00990CCB" w:rsidRDefault="003027A0" w:rsidP="003027A0">
                                  <w:pPr>
                                    <w:spacing w:after="0" w:line="240" w:lineRule="auto"/>
                                    <w:jc w:val="both"/>
                                    <w:rPr>
                                      <w:rFonts w:ascii="Times New Roman" w:hAnsi="Times New Roman" w:cs="Times New Roman"/>
                                      <w:sz w:val="20"/>
                                      <w:szCs w:val="20"/>
                                    </w:rPr>
                                  </w:pPr>
                                  <w:r>
                                    <w:rPr>
                                      <w:sz w:val="20"/>
                                      <w:szCs w:val="20"/>
                                    </w:rPr>
                                    <w:t xml:space="preserve">  - </w:t>
                                  </w:r>
                                  <w:r w:rsidRPr="00990CCB">
                                    <w:rPr>
                                      <w:rFonts w:ascii="Times New Roman" w:hAnsi="Times New Roman" w:cs="Times New Roman"/>
                                      <w:sz w:val="20"/>
                                      <w:szCs w:val="20"/>
                                    </w:rPr>
                                    <w:t xml:space="preserve">∆(Creante) </w:t>
                                  </w:r>
                                  <w:r>
                                    <w:rPr>
                                      <w:rFonts w:ascii="Times New Roman" w:hAnsi="Times New Roman" w:cs="Times New Roman"/>
                                      <w:sz w:val="20"/>
                                      <w:szCs w:val="20"/>
                                    </w:rPr>
                                    <w:t>-</w:t>
                                  </w:r>
                                  <w:r w:rsidRPr="00990CCB">
                                    <w:rPr>
                                      <w:rFonts w:ascii="Times New Roman" w:hAnsi="Times New Roman" w:cs="Times New Roman"/>
                                      <w:sz w:val="20"/>
                                      <w:szCs w:val="20"/>
                                    </w:rPr>
                                    <w:t xml:space="preserve"> ∆(Stocuri) </w:t>
                                  </w:r>
                                  <w:r>
                                    <w:rPr>
                                      <w:rFonts w:ascii="Times New Roman" w:hAnsi="Times New Roman" w:cs="Times New Roman"/>
                                      <w:sz w:val="20"/>
                                      <w:szCs w:val="20"/>
                                    </w:rPr>
                                    <w:t>+</w:t>
                                  </w:r>
                                  <w:r w:rsidRPr="00990CCB">
                                    <w:rPr>
                                      <w:rFonts w:ascii="Times New Roman" w:hAnsi="Times New Roman" w:cs="Times New Roman"/>
                                      <w:sz w:val="20"/>
                                      <w:szCs w:val="20"/>
                                    </w:rPr>
                                    <w:t xml:space="preserve"> ∆(Furnizori)</w:t>
                                  </w:r>
                                </w:p>
                                <w:p w:rsidR="003027A0" w:rsidRPr="00990CCB" w:rsidRDefault="003027A0" w:rsidP="003027A0">
                                  <w:pPr>
                                    <w:spacing w:after="0" w:line="240" w:lineRule="auto"/>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5pt;margin-top:24.25pt;width:186pt;height:6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">
                      <v:textbox>
                        <w:txbxContent>
                          <w:p w:rsidR="003027A0" w:rsidRPr="00990CCB" w:rsidRDefault="003027A0" w:rsidP="003027A0">
                            <w:pPr>
                              <w:spacing w:after="0" w:line="240" w:lineRule="auto"/>
                              <w:jc w:val="both"/>
                              <w:rPr>
                                <w:rFonts w:ascii="Times New Roman" w:hAnsi="Times New Roman" w:cs="Times New Roman"/>
                                <w:sz w:val="20"/>
                                <w:szCs w:val="20"/>
                              </w:rPr>
                            </w:pPr>
                            <w:r w:rsidRPr="00990CCB">
                              <w:rPr>
                                <w:rFonts w:ascii="Times New Roman" w:hAnsi="Times New Roman" w:cs="Times New Roman"/>
                                <w:sz w:val="20"/>
                                <w:szCs w:val="20"/>
                              </w:rPr>
                              <w:t xml:space="preserve">CFO </w:t>
                            </w:r>
                            <w:r w:rsidRPr="00990CCB">
                              <w:rPr>
                                <w:rFonts w:ascii="Times New Roman" w:hAnsi="Times New Roman" w:cs="Times New Roman"/>
                                <w:sz w:val="20"/>
                                <w:szCs w:val="20"/>
                              </w:rPr>
                              <w:t>= Incasari – Plati Operationale</w:t>
                            </w:r>
                          </w:p>
                          <w:p w:rsidR="003027A0" w:rsidRDefault="003027A0" w:rsidP="003027A0">
                            <w:pPr>
                              <w:spacing w:after="0" w:line="240" w:lineRule="auto"/>
                              <w:jc w:val="both"/>
                              <w:rPr>
                                <w:rFonts w:ascii="Times New Roman" w:hAnsi="Times New Roman" w:cs="Times New Roman"/>
                                <w:sz w:val="20"/>
                                <w:szCs w:val="20"/>
                              </w:rPr>
                            </w:pPr>
                            <w:r w:rsidRPr="00990CCB">
                              <w:rPr>
                                <w:rFonts w:ascii="Times New Roman" w:hAnsi="Times New Roman" w:cs="Times New Roman"/>
                                <w:sz w:val="20"/>
                                <w:szCs w:val="20"/>
                              </w:rPr>
                              <w:t xml:space="preserve">= EBIT + Cheltuieli </w:t>
                            </w:r>
                            <w:r>
                              <w:rPr>
                                <w:rFonts w:ascii="Times New Roman" w:hAnsi="Times New Roman" w:cs="Times New Roman"/>
                                <w:sz w:val="20"/>
                                <w:szCs w:val="20"/>
                              </w:rPr>
                              <w:t xml:space="preserve">Nonmonetare </w:t>
                            </w:r>
                          </w:p>
                          <w:p w:rsidR="003027A0" w:rsidRPr="00990CCB" w:rsidRDefault="003027A0" w:rsidP="003027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Pr="00990CCB">
                              <w:rPr>
                                <w:rFonts w:ascii="Times New Roman" w:hAnsi="Times New Roman" w:cs="Times New Roman"/>
                                <w:sz w:val="20"/>
                                <w:szCs w:val="20"/>
                              </w:rPr>
                              <w:t xml:space="preserve">Ch. </w:t>
                            </w:r>
                            <w:r>
                              <w:rPr>
                                <w:rFonts w:ascii="Times New Roman" w:hAnsi="Times New Roman" w:cs="Times New Roman"/>
                                <w:sz w:val="20"/>
                                <w:szCs w:val="20"/>
                              </w:rPr>
                              <w:t>Dobanda x (1-t) – Impozit</w:t>
                            </w:r>
                          </w:p>
                          <w:p w:rsidR="003027A0" w:rsidRPr="00990CCB" w:rsidRDefault="003027A0" w:rsidP="003027A0">
                            <w:pPr>
                              <w:spacing w:after="0" w:line="240" w:lineRule="auto"/>
                              <w:jc w:val="both"/>
                              <w:rPr>
                                <w:rFonts w:ascii="Times New Roman" w:hAnsi="Times New Roman" w:cs="Times New Roman"/>
                                <w:sz w:val="20"/>
                                <w:szCs w:val="20"/>
                              </w:rPr>
                            </w:pPr>
                            <w:r>
                              <w:rPr>
                                <w:sz w:val="20"/>
                                <w:szCs w:val="20"/>
                              </w:rPr>
                              <w:t xml:space="preserve">  - </w:t>
                            </w:r>
                            <w:r w:rsidRPr="00990CCB">
                              <w:rPr>
                                <w:rFonts w:ascii="Times New Roman" w:hAnsi="Times New Roman" w:cs="Times New Roman"/>
                                <w:sz w:val="20"/>
                                <w:szCs w:val="20"/>
                              </w:rPr>
                              <w:t xml:space="preserve">∆(Creante) </w:t>
                            </w:r>
                            <w:r>
                              <w:rPr>
                                <w:rFonts w:ascii="Times New Roman" w:hAnsi="Times New Roman" w:cs="Times New Roman"/>
                                <w:sz w:val="20"/>
                                <w:szCs w:val="20"/>
                              </w:rPr>
                              <w:t>-</w:t>
                            </w:r>
                            <w:r w:rsidRPr="00990CCB">
                              <w:rPr>
                                <w:rFonts w:ascii="Times New Roman" w:hAnsi="Times New Roman" w:cs="Times New Roman"/>
                                <w:sz w:val="20"/>
                                <w:szCs w:val="20"/>
                              </w:rPr>
                              <w:t xml:space="preserve"> ∆(Stocuri) </w:t>
                            </w:r>
                            <w:r>
                              <w:rPr>
                                <w:rFonts w:ascii="Times New Roman" w:hAnsi="Times New Roman" w:cs="Times New Roman"/>
                                <w:sz w:val="20"/>
                                <w:szCs w:val="20"/>
                              </w:rPr>
                              <w:t>+</w:t>
                            </w:r>
                            <w:r w:rsidRPr="00990CCB">
                              <w:rPr>
                                <w:rFonts w:ascii="Times New Roman" w:hAnsi="Times New Roman" w:cs="Times New Roman"/>
                                <w:sz w:val="20"/>
                                <w:szCs w:val="20"/>
                              </w:rPr>
                              <w:t xml:space="preserve"> ∆(Furnizori)</w:t>
                            </w:r>
                          </w:p>
                          <w:p w:rsidR="003027A0" w:rsidRPr="00990CCB" w:rsidRDefault="003027A0" w:rsidP="003027A0">
                            <w:pPr>
                              <w:spacing w:after="0" w:line="240" w:lineRule="auto"/>
                              <w:jc w:val="both"/>
                              <w:rPr>
                                <w:sz w:val="20"/>
                                <w:szCs w:val="20"/>
                              </w:rPr>
                            </w:pPr>
                          </w:p>
                        </w:txbxContent>
                      </v:textbox>
                    </v:shape>
                  </w:pict>
                </mc:Fallback>
              </mc:AlternateContent>
            </w:r>
            <w:r w:rsidRPr="00990CCB">
              <w:rPr>
                <w:rFonts w:ascii="Times New Roman" w:eastAsia="Calibri"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5604C817" wp14:editId="107D0E59">
                      <wp:simplePos x="0" y="0"/>
                      <wp:positionH relativeFrom="column">
                        <wp:posOffset>3804920</wp:posOffset>
                      </wp:positionH>
                      <wp:positionV relativeFrom="paragraph">
                        <wp:posOffset>307340</wp:posOffset>
                      </wp:positionV>
                      <wp:extent cx="2514600" cy="838200"/>
                      <wp:effectExtent l="0" t="0" r="19050"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solidFill>
                                <a:srgbClr val="FFFFFF"/>
                              </a:solidFill>
                              <a:ln w="9525">
                                <a:solidFill>
                                  <a:srgbClr val="000000"/>
                                </a:solidFill>
                                <a:miter lim="800000"/>
                                <a:headEnd/>
                                <a:tailEnd/>
                              </a:ln>
                            </wps:spPr>
                            <wps:txbx>
                              <w:txbxContent>
                                <w:p w:rsidR="003027A0" w:rsidRDefault="003027A0" w:rsidP="003027A0">
                                  <w:pPr>
                                    <w:spacing w:after="0" w:line="240" w:lineRule="auto"/>
                                    <w:rPr>
                                      <w:rFonts w:ascii="Times New Roman" w:hAnsi="Times New Roman" w:cs="Times New Roman"/>
                                      <w:sz w:val="20"/>
                                      <w:szCs w:val="20"/>
                                    </w:rPr>
                                  </w:pPr>
                                  <w:r w:rsidRPr="00E64AEA">
                                    <w:rPr>
                                      <w:rFonts w:ascii="Times New Roman" w:hAnsi="Times New Roman" w:cs="Times New Roman"/>
                                      <w:sz w:val="20"/>
                                      <w:szCs w:val="20"/>
                                    </w:rPr>
                                    <w:t>CF</w:t>
                                  </w:r>
                                  <w:r>
                                    <w:rPr>
                                      <w:rFonts w:ascii="Times New Roman" w:hAnsi="Times New Roman" w:cs="Times New Roman"/>
                                      <w:sz w:val="20"/>
                                      <w:szCs w:val="20"/>
                                    </w:rPr>
                                    <w:t>I</w:t>
                                  </w:r>
                                  <w:r w:rsidRPr="00E64AEA">
                                    <w:rPr>
                                      <w:rFonts w:ascii="Times New Roman" w:hAnsi="Times New Roman" w:cs="Times New Roman"/>
                                      <w:sz w:val="20"/>
                                      <w:szCs w:val="20"/>
                                    </w:rPr>
                                    <w:t xml:space="preserve"> = Incasari – Plati </w:t>
                                  </w:r>
                                  <w:r>
                                    <w:rPr>
                                      <w:rFonts w:ascii="Times New Roman" w:hAnsi="Times New Roman" w:cs="Times New Roman"/>
                                      <w:sz w:val="20"/>
                                      <w:szCs w:val="20"/>
                                    </w:rPr>
                                    <w:t>Investitionale</w:t>
                                  </w:r>
                                  <w:r w:rsidRPr="00E64AEA">
                                    <w:rPr>
                                      <w:rFonts w:ascii="Times New Roman" w:hAnsi="Times New Roman" w:cs="Times New Roman"/>
                                      <w:sz w:val="20"/>
                                      <w:szCs w:val="20"/>
                                    </w:rPr>
                                    <w:t xml:space="preserve"> </w:t>
                                  </w:r>
                                </w:p>
                                <w:p w:rsidR="003027A0" w:rsidRPr="00E64AEA" w:rsidRDefault="003027A0" w:rsidP="003027A0">
                                  <w:pPr>
                                    <w:spacing w:after="0" w:line="240" w:lineRule="auto"/>
                                    <w:jc w:val="both"/>
                                    <w:rPr>
                                      <w:rFonts w:ascii="Times New Roman" w:hAnsi="Times New Roman" w:cs="Times New Roman"/>
                                      <w:sz w:val="20"/>
                                      <w:szCs w:val="20"/>
                                    </w:rPr>
                                  </w:pPr>
                                  <w:r w:rsidRPr="00E64AEA">
                                    <w:rPr>
                                      <w:rFonts w:ascii="Times New Roman" w:hAnsi="Times New Roman" w:cs="Times New Roman"/>
                                      <w:sz w:val="20"/>
                                      <w:szCs w:val="20"/>
                                    </w:rPr>
                                    <w:t>= ∆(Active Imob. Corporale) + Amortizare ± Reevaluare Imob. Corporale ± Castig/Pierdere</w:t>
                                  </w:r>
                                  <w:r>
                                    <w:rPr>
                                      <w:rFonts w:ascii="Times New Roman" w:hAnsi="Times New Roman" w:cs="Times New Roman"/>
                                      <w:sz w:val="20"/>
                                      <w:szCs w:val="20"/>
                                    </w:rPr>
                                    <w:t xml:space="preserve"> din</w:t>
                                  </w:r>
                                  <w:r w:rsidRPr="00E64AEA">
                                    <w:rPr>
                                      <w:rFonts w:ascii="Times New Roman" w:hAnsi="Times New Roman" w:cs="Times New Roman"/>
                                      <w:sz w:val="20"/>
                                      <w:szCs w:val="20"/>
                                    </w:rPr>
                                    <w:t xml:space="preserve"> Vanzare</w:t>
                                  </w:r>
                                  <w:r>
                                    <w:rPr>
                                      <w:rFonts w:ascii="Times New Roman" w:hAnsi="Times New Roman" w:cs="Times New Roman"/>
                                      <w:sz w:val="20"/>
                                      <w:szCs w:val="20"/>
                                    </w:rPr>
                                    <w:t>a</w:t>
                                  </w:r>
                                  <w:r w:rsidRPr="00E64AEA">
                                    <w:rPr>
                                      <w:rFonts w:ascii="Times New Roman" w:hAnsi="Times New Roman" w:cs="Times New Roman"/>
                                      <w:sz w:val="20"/>
                                      <w:szCs w:val="20"/>
                                    </w:rPr>
                                    <w:t xml:space="preserve"> Imobilizarilor Corporale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9.6pt;margin-top:24.2pt;width:198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VZJgIAAE0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">
                      <v:textbox>
                        <w:txbxContent>
                          <w:p w:rsidR="003027A0" w:rsidRDefault="003027A0" w:rsidP="003027A0">
                            <w:pPr>
                              <w:spacing w:after="0" w:line="240" w:lineRule="auto"/>
                              <w:rPr>
                                <w:rFonts w:ascii="Times New Roman" w:hAnsi="Times New Roman" w:cs="Times New Roman"/>
                                <w:sz w:val="20"/>
                                <w:szCs w:val="20"/>
                              </w:rPr>
                            </w:pPr>
                            <w:r w:rsidRPr="00E64AEA">
                              <w:rPr>
                                <w:rFonts w:ascii="Times New Roman" w:hAnsi="Times New Roman" w:cs="Times New Roman"/>
                                <w:sz w:val="20"/>
                                <w:szCs w:val="20"/>
                              </w:rPr>
                              <w:t>CF</w:t>
                            </w:r>
                            <w:r>
                              <w:rPr>
                                <w:rFonts w:ascii="Times New Roman" w:hAnsi="Times New Roman" w:cs="Times New Roman"/>
                                <w:sz w:val="20"/>
                                <w:szCs w:val="20"/>
                              </w:rPr>
                              <w:t>I</w:t>
                            </w:r>
                            <w:r w:rsidRPr="00E64AEA">
                              <w:rPr>
                                <w:rFonts w:ascii="Times New Roman" w:hAnsi="Times New Roman" w:cs="Times New Roman"/>
                                <w:sz w:val="20"/>
                                <w:szCs w:val="20"/>
                              </w:rPr>
                              <w:t xml:space="preserve"> = Incasari – Plati </w:t>
                            </w:r>
                            <w:r>
                              <w:rPr>
                                <w:rFonts w:ascii="Times New Roman" w:hAnsi="Times New Roman" w:cs="Times New Roman"/>
                                <w:sz w:val="20"/>
                                <w:szCs w:val="20"/>
                              </w:rPr>
                              <w:t>Investitionale</w:t>
                            </w:r>
                            <w:r w:rsidRPr="00E64AEA">
                              <w:rPr>
                                <w:rFonts w:ascii="Times New Roman" w:hAnsi="Times New Roman" w:cs="Times New Roman"/>
                                <w:sz w:val="20"/>
                                <w:szCs w:val="20"/>
                              </w:rPr>
                              <w:t xml:space="preserve"> </w:t>
                            </w:r>
                          </w:p>
                          <w:p w:rsidR="003027A0" w:rsidRPr="00E64AEA" w:rsidRDefault="003027A0" w:rsidP="003027A0">
                            <w:pPr>
                              <w:spacing w:after="0" w:line="240" w:lineRule="auto"/>
                              <w:jc w:val="both"/>
                              <w:rPr>
                                <w:rFonts w:ascii="Times New Roman" w:hAnsi="Times New Roman" w:cs="Times New Roman"/>
                                <w:sz w:val="20"/>
                                <w:szCs w:val="20"/>
                              </w:rPr>
                            </w:pPr>
                            <w:r w:rsidRPr="00E64AEA">
                              <w:rPr>
                                <w:rFonts w:ascii="Times New Roman" w:hAnsi="Times New Roman" w:cs="Times New Roman"/>
                                <w:sz w:val="20"/>
                                <w:szCs w:val="20"/>
                              </w:rPr>
                              <w:t>= ∆(Active Imob. Corporale) + Amortizare ± Reevaluare Imob. Corporale ± Castig/Pierdere</w:t>
                            </w:r>
                            <w:r>
                              <w:rPr>
                                <w:rFonts w:ascii="Times New Roman" w:hAnsi="Times New Roman" w:cs="Times New Roman"/>
                                <w:sz w:val="20"/>
                                <w:szCs w:val="20"/>
                              </w:rPr>
                              <w:t xml:space="preserve"> din</w:t>
                            </w:r>
                            <w:r w:rsidRPr="00E64AEA">
                              <w:rPr>
                                <w:rFonts w:ascii="Times New Roman" w:hAnsi="Times New Roman" w:cs="Times New Roman"/>
                                <w:sz w:val="20"/>
                                <w:szCs w:val="20"/>
                              </w:rPr>
                              <w:t xml:space="preserve"> Vanzare</w:t>
                            </w:r>
                            <w:r>
                              <w:rPr>
                                <w:rFonts w:ascii="Times New Roman" w:hAnsi="Times New Roman" w:cs="Times New Roman"/>
                                <w:sz w:val="20"/>
                                <w:szCs w:val="20"/>
                              </w:rPr>
                              <w:t>a</w:t>
                            </w:r>
                            <w:r w:rsidRPr="00E64AEA">
                              <w:rPr>
                                <w:rFonts w:ascii="Times New Roman" w:hAnsi="Times New Roman" w:cs="Times New Roman"/>
                                <w:sz w:val="20"/>
                                <w:szCs w:val="20"/>
                              </w:rPr>
                              <w:t xml:space="preserve"> Imobilizarilor Corporale</w:t>
                            </w:r>
                          </w:p>
                        </w:txbxContent>
                      </v:textbox>
                    </v:shape>
                  </w:pict>
                </mc:Fallback>
              </mc:AlternateContent>
            </w:r>
          </w:p>
          <w:p w:rsidR="003027A0" w:rsidRDefault="003027A0" w:rsidP="003027A0">
            <w:pPr>
              <w:jc w:val="both"/>
              <w:rPr>
                <w:rFonts w:ascii="Times New Roman" w:eastAsia="Calibri" w:hAnsi="Times New Roman" w:cs="Times New Roman"/>
                <w:sz w:val="24"/>
                <w:szCs w:val="24"/>
              </w:rPr>
            </w:pPr>
          </w:p>
          <w:p w:rsidR="003027A0" w:rsidRDefault="003027A0" w:rsidP="003027A0">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o-RO"/>
              </w:rPr>
              <mc:AlternateContent>
                <mc:Choice Requires="wps">
                  <w:drawing>
                    <wp:anchor distT="0" distB="0" distL="114300" distR="114300" simplePos="0" relativeHeight="251670528" behindDoc="0" locked="0" layoutInCell="1" allowOverlap="1" wp14:anchorId="289C26B4" wp14:editId="09858DFA">
                      <wp:simplePos x="0" y="0"/>
                      <wp:positionH relativeFrom="column">
                        <wp:posOffset>2484755</wp:posOffset>
                      </wp:positionH>
                      <wp:positionV relativeFrom="paragraph">
                        <wp:posOffset>120227</wp:posOffset>
                      </wp:positionV>
                      <wp:extent cx="1235710" cy="0"/>
                      <wp:effectExtent l="38100" t="76200" r="0" b="114300"/>
                      <wp:wrapNone/>
                      <wp:docPr id="349" name="Straight Arrow Connector 349"/>
                      <wp:cNvGraphicFramePr/>
                      <a:graphic xmlns:a="http://schemas.openxmlformats.org/drawingml/2006/main">
                        <a:graphicData uri="http://schemas.microsoft.com/office/word/2010/wordprocessingShape">
                          <wps:wsp>
                            <wps:cNvCnPr/>
                            <wps:spPr>
                              <a:xfrm flipH="1">
                                <a:off x="0" y="0"/>
                                <a:ext cx="1235710" cy="0"/>
                              </a:xfrm>
                              <a:prstGeom prst="straightConnector1">
                                <a:avLst/>
                              </a:prstGeom>
                              <a:ln w="1270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9" o:spid="_x0000_s1026" type="#_x0000_t32" style="position:absolute;margin-left:195.65pt;margin-top:9.45pt;width:97.3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" strokecolor="#4579b8 [3044]" strokeweight="1pt">
                      <v:stroke dashstyle="dash" endarrow="open"/>
                    </v:shape>
                  </w:pict>
                </mc:Fallback>
              </mc:AlternateContent>
            </w:r>
          </w:p>
          <w:p w:rsidR="003027A0" w:rsidRDefault="003027A0" w:rsidP="003027A0">
            <w:pPr>
              <w:jc w:val="both"/>
              <w:rPr>
                <w:rFonts w:ascii="Times New Roman" w:hAnsi="Times New Roman" w:cs="Times New Roman"/>
                <w:sz w:val="24"/>
                <w:szCs w:val="24"/>
              </w:rPr>
            </w:pPr>
          </w:p>
          <w:p w:rsidR="003027A0" w:rsidRDefault="003027A0" w:rsidP="003027A0">
            <w:pPr>
              <w:jc w:val="both"/>
              <w:rPr>
                <w:rFonts w:ascii="Times New Roman" w:hAnsi="Times New Roman" w:cs="Times New Roman"/>
                <w:sz w:val="24"/>
                <w:szCs w:val="24"/>
              </w:rPr>
            </w:pPr>
            <w:r>
              <w:rPr>
                <w:rFonts w:ascii="Times New Roman" w:eastAsia="Calibri" w:hAnsi="Times New Roman" w:cs="Times New Roman"/>
                <w:noProof/>
                <w:sz w:val="24"/>
                <w:szCs w:val="24"/>
                <w:lang w:eastAsia="ro-RO"/>
              </w:rPr>
              <mc:AlternateContent>
                <mc:Choice Requires="wps">
                  <w:drawing>
                    <wp:anchor distT="0" distB="0" distL="114300" distR="114300" simplePos="0" relativeHeight="251669504" behindDoc="0" locked="0" layoutInCell="1" allowOverlap="1" wp14:anchorId="63A46757" wp14:editId="351D654C">
                      <wp:simplePos x="0" y="0"/>
                      <wp:positionH relativeFrom="column">
                        <wp:posOffset>2484755</wp:posOffset>
                      </wp:positionH>
                      <wp:positionV relativeFrom="paragraph">
                        <wp:posOffset>4445</wp:posOffset>
                      </wp:positionV>
                      <wp:extent cx="1235710" cy="0"/>
                      <wp:effectExtent l="0" t="76200" r="21590" b="114300"/>
                      <wp:wrapNone/>
                      <wp:docPr id="348" name="Straight Arrow Connector 348"/>
                      <wp:cNvGraphicFramePr/>
                      <a:graphic xmlns:a="http://schemas.openxmlformats.org/drawingml/2006/main">
                        <a:graphicData uri="http://schemas.microsoft.com/office/word/2010/wordprocessingShape">
                          <wps:wsp>
                            <wps:cNvCnPr/>
                            <wps:spPr>
                              <a:xfrm>
                                <a:off x="0" y="0"/>
                                <a:ext cx="1235710" cy="0"/>
                              </a:xfrm>
                              <a:prstGeom prst="straightConnector1">
                                <a:avLst/>
                              </a:prstGeom>
                              <a:ln w="1270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8" o:spid="_x0000_s1026" type="#_x0000_t32" style="position:absolute;margin-left:195.65pt;margin-top:.35pt;width:97.3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" strokecolor="#4579b8 [3044]" strokeweight="1pt">
                      <v:stroke dashstyle="dash" endarrow="open"/>
                    </v:shape>
                  </w:pict>
                </mc:Fallback>
              </mc:AlternateContent>
            </w:r>
          </w:p>
          <w:p w:rsidR="003027A0" w:rsidRDefault="003027A0" w:rsidP="003027A0">
            <w:pPr>
              <w:jc w:val="both"/>
              <w:rPr>
                <w:rFonts w:ascii="Times New Roman" w:hAnsi="Times New Roman" w:cs="Times New Roman"/>
                <w:sz w:val="24"/>
                <w:szCs w:val="24"/>
              </w:rPr>
            </w:pPr>
          </w:p>
          <w:p w:rsidR="003027A0" w:rsidRDefault="003027A0" w:rsidP="003027A0">
            <w:pPr>
              <w:jc w:val="both"/>
              <w:rPr>
                <w:rFonts w:ascii="Times New Roman" w:hAnsi="Times New Roman" w:cs="Times New Roman"/>
                <w:sz w:val="24"/>
                <w:szCs w:val="24"/>
              </w:rPr>
            </w:pPr>
          </w:p>
          <w:p w:rsidR="003027A0" w:rsidRDefault="003027A0" w:rsidP="003027A0">
            <w:pPr>
              <w:jc w:val="both"/>
              <w:rPr>
                <w:rFonts w:ascii="Times New Roman" w:hAnsi="Times New Roman" w:cs="Times New Roman"/>
                <w:sz w:val="24"/>
                <w:szCs w:val="24"/>
              </w:rPr>
            </w:pPr>
          </w:p>
          <w:p w:rsidR="003027A0" w:rsidRPr="003027A0" w:rsidRDefault="00C22E66" w:rsidP="005222F8">
            <w:pPr>
              <w:jc w:val="both"/>
              <w:rPr>
                <w:rFonts w:ascii="Times New Roman" w:hAnsi="Times New Roman" w:cs="Times New Roman"/>
                <w:sz w:val="24"/>
                <w:szCs w:val="24"/>
              </w:rPr>
            </w:pPr>
            <w:r w:rsidRPr="00C22E66">
              <w:rPr>
                <w:rFonts w:ascii="Times New Roman" w:hAnsi="Times New Roman" w:cs="Times New Roman"/>
                <w:b/>
                <w:color w:val="FF0000"/>
                <w:sz w:val="24"/>
                <w:szCs w:val="24"/>
              </w:rPr>
              <w:t>CONCLUZIE</w:t>
            </w:r>
            <w:r w:rsidR="005222F8">
              <w:rPr>
                <w:rFonts w:ascii="Times New Roman" w:hAnsi="Times New Roman" w:cs="Times New Roman"/>
                <w:sz w:val="24"/>
                <w:szCs w:val="24"/>
              </w:rPr>
              <w:t xml:space="preserve">: </w:t>
            </w:r>
            <w:r w:rsidR="005222F8" w:rsidRPr="005222F8">
              <w:rPr>
                <w:rFonts w:ascii="Times New Roman" w:hAnsi="Times New Roman" w:cs="Times New Roman"/>
                <w:b/>
                <w:sz w:val="24"/>
                <w:szCs w:val="24"/>
              </w:rPr>
              <w:t>sub auspiciile actuale, si avand in vedere ipotezele prezentului studiu de impact, aproape jumatate din firmele active in Romania sunt expuse unor impozite in crestere incepand cu anul 2018.</w:t>
            </w:r>
            <w:r w:rsidR="005222F8">
              <w:rPr>
                <w:rFonts w:ascii="Times New Roman" w:hAnsi="Times New Roman" w:cs="Times New Roman"/>
                <w:b/>
                <w:sz w:val="24"/>
                <w:szCs w:val="24"/>
              </w:rPr>
              <w:t xml:space="preserve"> Analizand posibilitatile pragmatice de optimizare a fluxului de numerar (operational, investitional si financiar), aproximativ 60% dintre aceste companii nu vor putea sa acopere povara fiscala in crester</w:t>
            </w:r>
            <w:r w:rsidR="00983AE2">
              <w:rPr>
                <w:rFonts w:ascii="Times New Roman" w:hAnsi="Times New Roman" w:cs="Times New Roman"/>
                <w:b/>
                <w:sz w:val="24"/>
                <w:szCs w:val="24"/>
              </w:rPr>
              <w:t>e</w:t>
            </w:r>
            <w:r w:rsidR="005222F8">
              <w:rPr>
                <w:rFonts w:ascii="Times New Roman" w:hAnsi="Times New Roman" w:cs="Times New Roman"/>
                <w:b/>
                <w:sz w:val="24"/>
                <w:szCs w:val="24"/>
              </w:rPr>
              <w:t>. Astfel, aproximativ 1 din 3 companii care activeaza in Romania sunt expuse riscului de a intra in insolventa din cauza noilor masuri fiscale privind impozitarea tuturor firmelor in functie de venit.</w:t>
            </w:r>
          </w:p>
        </w:tc>
      </w:tr>
      <w:tr w:rsidR="00930C8D" w:rsidRPr="00131E28" w:rsidTr="004A6091">
        <w:tc>
          <w:tcPr>
            <w:tcW w:w="10564" w:type="dxa"/>
            <w:gridSpan w:val="3"/>
          </w:tcPr>
          <w:p w:rsidR="00930C8D" w:rsidRPr="00131E28" w:rsidRDefault="00930C8D" w:rsidP="008B40D6">
            <w:pPr>
              <w:rPr>
                <w:rFonts w:ascii="Times New Roman" w:hAnsi="Times New Roman" w:cs="Times New Roman"/>
                <w:sz w:val="24"/>
                <w:szCs w:val="24"/>
              </w:rPr>
            </w:pPr>
          </w:p>
        </w:tc>
      </w:tr>
    </w:tbl>
    <w:p w:rsidR="00930C8D" w:rsidRDefault="00930C8D"/>
    <w:p w:rsidR="00205C70" w:rsidRDefault="00BE3079" w:rsidP="00471808">
      <w:pPr>
        <w:jc w:val="both"/>
        <w:rPr>
          <w:rFonts w:ascii="Times New Roman" w:hAnsi="Times New Roman" w:cs="Times New Roman"/>
          <w:b/>
          <w:sz w:val="24"/>
          <w:szCs w:val="24"/>
        </w:rPr>
      </w:pPr>
      <w:r w:rsidRPr="00971494">
        <w:rPr>
          <w:rFonts w:ascii="Times New Roman" w:hAnsi="Times New Roman" w:cs="Times New Roman"/>
          <w:sz w:val="24"/>
          <w:szCs w:val="24"/>
        </w:rPr>
        <w:lastRenderedPageBreak/>
        <w:t>„</w:t>
      </w:r>
      <w:r w:rsidR="00471808" w:rsidRPr="00471808">
        <w:rPr>
          <w:rFonts w:ascii="Times New Roman" w:hAnsi="Times New Roman" w:cs="Times New Roman"/>
          <w:i/>
          <w:sz w:val="24"/>
          <w:szCs w:val="24"/>
        </w:rPr>
        <w:t>Mediul de afaceri</w:t>
      </w:r>
      <w:r w:rsidR="00471808">
        <w:rPr>
          <w:rFonts w:ascii="Times New Roman" w:hAnsi="Times New Roman" w:cs="Times New Roman"/>
          <w:i/>
          <w:sz w:val="24"/>
          <w:szCs w:val="24"/>
        </w:rPr>
        <w:t xml:space="preserve"> care activeaza in Romania</w:t>
      </w:r>
      <w:r w:rsidR="00471808" w:rsidRPr="00471808">
        <w:rPr>
          <w:rFonts w:ascii="Times New Roman" w:hAnsi="Times New Roman" w:cs="Times New Roman"/>
          <w:i/>
          <w:sz w:val="24"/>
          <w:szCs w:val="24"/>
        </w:rPr>
        <w:t xml:space="preserve"> sufera de o boala foarte grava, respectiv lipsa paturii de mijloc din cauza polarizarii excesive. </w:t>
      </w:r>
      <w:r w:rsidR="00471808">
        <w:rPr>
          <w:rFonts w:ascii="Times New Roman" w:hAnsi="Times New Roman" w:cs="Times New Roman"/>
          <w:i/>
          <w:sz w:val="24"/>
          <w:szCs w:val="24"/>
        </w:rPr>
        <w:t xml:space="preserve">Cele mai mari 1% dintre companii genereaza doua treimi din veniturile intregului mediu de afaceri, si prezinta o sarcina fiscala mai mica decat restul companiilor </w:t>
      </w:r>
      <w:r w:rsidR="003038F3">
        <w:rPr>
          <w:rFonts w:ascii="Times New Roman" w:hAnsi="Times New Roman" w:cs="Times New Roman"/>
          <w:i/>
          <w:sz w:val="24"/>
          <w:szCs w:val="24"/>
        </w:rPr>
        <w:t>mici</w:t>
      </w:r>
      <w:r w:rsidR="00471808">
        <w:rPr>
          <w:rFonts w:ascii="Times New Roman" w:hAnsi="Times New Roman" w:cs="Times New Roman"/>
          <w:i/>
          <w:sz w:val="24"/>
          <w:szCs w:val="24"/>
        </w:rPr>
        <w:t>. In acest context, p</w:t>
      </w:r>
      <w:r w:rsidR="00471808" w:rsidRPr="00471808">
        <w:rPr>
          <w:rFonts w:ascii="Times New Roman" w:hAnsi="Times New Roman" w:cs="Times New Roman"/>
          <w:i/>
          <w:sz w:val="24"/>
          <w:szCs w:val="24"/>
        </w:rPr>
        <w:t>rin inlocuirea profitului brut cu cifra de afaceri ca baza impozabila</w:t>
      </w:r>
      <w:r w:rsidR="00471808">
        <w:rPr>
          <w:rFonts w:ascii="Times New Roman" w:hAnsi="Times New Roman" w:cs="Times New Roman"/>
          <w:i/>
          <w:sz w:val="24"/>
          <w:szCs w:val="24"/>
        </w:rPr>
        <w:t>,</w:t>
      </w:r>
      <w:r w:rsidR="00471808" w:rsidRPr="00471808">
        <w:rPr>
          <w:rFonts w:ascii="Times New Roman" w:hAnsi="Times New Roman" w:cs="Times New Roman"/>
          <w:i/>
          <w:sz w:val="24"/>
          <w:szCs w:val="24"/>
        </w:rPr>
        <w:t xml:space="preserve"> noul guvern doreste, conform declaratiilor oficiale, sa combata practica multinationalelor de optimizar</w:t>
      </w:r>
      <w:r w:rsidR="00853DC9">
        <w:rPr>
          <w:rFonts w:ascii="Times New Roman" w:hAnsi="Times New Roman" w:cs="Times New Roman"/>
          <w:i/>
          <w:sz w:val="24"/>
          <w:szCs w:val="24"/>
        </w:rPr>
        <w:t>e fiscala</w:t>
      </w:r>
      <w:r w:rsidR="00471808" w:rsidRPr="00471808">
        <w:rPr>
          <w:rFonts w:ascii="Times New Roman" w:hAnsi="Times New Roman" w:cs="Times New Roman"/>
          <w:i/>
          <w:sz w:val="24"/>
          <w:szCs w:val="24"/>
        </w:rPr>
        <w:t xml:space="preserve"> si diminuare a impozitelor platite</w:t>
      </w:r>
      <w:r w:rsidR="00471808">
        <w:rPr>
          <w:rFonts w:ascii="Times New Roman" w:hAnsi="Times New Roman" w:cs="Times New Roman"/>
          <w:i/>
          <w:sz w:val="24"/>
          <w:szCs w:val="24"/>
        </w:rPr>
        <w:t xml:space="preserve">. </w:t>
      </w:r>
      <w:r w:rsidR="00471808" w:rsidRPr="00471808">
        <w:rPr>
          <w:rFonts w:ascii="Times New Roman" w:hAnsi="Times New Roman" w:cs="Times New Roman"/>
          <w:b/>
          <w:i/>
          <w:sz w:val="24"/>
          <w:szCs w:val="24"/>
        </w:rPr>
        <w:t xml:space="preserve">Personal, confirm afectiune </w:t>
      </w:r>
      <w:r w:rsidR="003038F3">
        <w:rPr>
          <w:rFonts w:ascii="Times New Roman" w:hAnsi="Times New Roman" w:cs="Times New Roman"/>
          <w:b/>
          <w:i/>
          <w:sz w:val="24"/>
          <w:szCs w:val="24"/>
        </w:rPr>
        <w:t xml:space="preserve">de polarizare </w:t>
      </w:r>
      <w:r w:rsidR="00471808" w:rsidRPr="00471808">
        <w:rPr>
          <w:rFonts w:ascii="Times New Roman" w:hAnsi="Times New Roman" w:cs="Times New Roman"/>
          <w:b/>
          <w:i/>
          <w:sz w:val="24"/>
          <w:szCs w:val="24"/>
        </w:rPr>
        <w:t>a mediului de afaceri</w:t>
      </w:r>
      <w:r w:rsidR="003038F3">
        <w:rPr>
          <w:rFonts w:ascii="Times New Roman" w:hAnsi="Times New Roman" w:cs="Times New Roman"/>
          <w:b/>
          <w:i/>
          <w:sz w:val="24"/>
          <w:szCs w:val="24"/>
        </w:rPr>
        <w:t xml:space="preserve"> si faptul ca firmele mari inregistreaza o sarcina fiscala inferioara celor mici</w:t>
      </w:r>
      <w:bookmarkStart w:id="0" w:name="_GoBack"/>
      <w:bookmarkEnd w:id="0"/>
      <w:r w:rsidR="00471808" w:rsidRPr="00471808">
        <w:rPr>
          <w:rFonts w:ascii="Times New Roman" w:hAnsi="Times New Roman" w:cs="Times New Roman"/>
          <w:b/>
          <w:i/>
          <w:sz w:val="24"/>
          <w:szCs w:val="24"/>
        </w:rPr>
        <w:t>, dar nu cred ca un tratament in masa este cea mai fericita solutie, din cauza efectelor colaterale generalizate asupra tuturor companiilor</w:t>
      </w:r>
      <w:r w:rsidR="00853DC9">
        <w:rPr>
          <w:rFonts w:ascii="Times New Roman" w:hAnsi="Times New Roman" w:cs="Times New Roman"/>
          <w:b/>
          <w:i/>
          <w:sz w:val="24"/>
          <w:szCs w:val="24"/>
        </w:rPr>
        <w:t xml:space="preserve"> care activeaza in Romania</w:t>
      </w:r>
      <w:r w:rsidR="00471808" w:rsidRPr="00471808">
        <w:rPr>
          <w:rFonts w:ascii="Times New Roman" w:hAnsi="Times New Roman" w:cs="Times New Roman"/>
          <w:b/>
          <w:i/>
          <w:sz w:val="24"/>
          <w:szCs w:val="24"/>
        </w:rPr>
        <w:t>.</w:t>
      </w:r>
      <w:r w:rsidR="00471808">
        <w:rPr>
          <w:rFonts w:ascii="Times New Roman" w:hAnsi="Times New Roman" w:cs="Times New Roman"/>
          <w:i/>
          <w:sz w:val="24"/>
          <w:szCs w:val="24"/>
        </w:rPr>
        <w:t xml:space="preserve"> Acest studiu de impact concluzioneaza faptul ca, </w:t>
      </w:r>
      <w:r w:rsidR="00471808" w:rsidRPr="00471808">
        <w:rPr>
          <w:rFonts w:ascii="Times New Roman" w:hAnsi="Times New Roman" w:cs="Times New Roman"/>
          <w:i/>
          <w:sz w:val="24"/>
          <w:szCs w:val="24"/>
        </w:rPr>
        <w:t>sub auspiciile actuale, aproape jumatate din firmele active in Romania sunt expuse unor impozite in crestere incepand cu anul 2018</w:t>
      </w:r>
      <w:r w:rsidR="00471808">
        <w:rPr>
          <w:rFonts w:ascii="Times New Roman" w:hAnsi="Times New Roman" w:cs="Times New Roman"/>
          <w:i/>
          <w:sz w:val="24"/>
          <w:szCs w:val="24"/>
        </w:rPr>
        <w:t xml:space="preserve">, in timp ce 60% dintre acestea nu vor putea suporta povara fiscala suplimentara. </w:t>
      </w:r>
      <w:r w:rsidR="00471808" w:rsidRPr="00471808">
        <w:rPr>
          <w:rFonts w:ascii="Times New Roman" w:hAnsi="Times New Roman" w:cs="Times New Roman"/>
          <w:i/>
          <w:sz w:val="24"/>
          <w:szCs w:val="24"/>
        </w:rPr>
        <w:t>Astfel, aproximativ 1 din 3 companii care activeaza in Romania sunt expuse riscului de a intra in insolventa din cauza noilor masuri fiscale privind impozitarea tuturor firmelor in functie de venit</w:t>
      </w:r>
      <w:r w:rsidR="00471808">
        <w:rPr>
          <w:rFonts w:ascii="Times New Roman" w:hAnsi="Times New Roman" w:cs="Times New Roman"/>
          <w:i/>
          <w:sz w:val="24"/>
          <w:szCs w:val="24"/>
        </w:rPr>
        <w:t xml:space="preserve">. </w:t>
      </w:r>
      <w:r w:rsidR="00FF5E74">
        <w:rPr>
          <w:rFonts w:ascii="Times New Roman" w:hAnsi="Times New Roman" w:cs="Times New Roman"/>
          <w:i/>
          <w:sz w:val="24"/>
          <w:szCs w:val="24"/>
        </w:rPr>
        <w:t>Noile masuri fiscale, asa cum sunt prezentate in stadiul actual, par sa trateze efectul, si mai putin cauza. Personal, cred ca ar fi mai indicata o interventie chirurgicala asupra cauzei, respectiv identificarea companiilor care</w:t>
      </w:r>
      <w:r w:rsidR="001228F6">
        <w:rPr>
          <w:rFonts w:ascii="Times New Roman" w:hAnsi="Times New Roman" w:cs="Times New Roman"/>
          <w:i/>
          <w:sz w:val="24"/>
          <w:szCs w:val="24"/>
        </w:rPr>
        <w:t xml:space="preserve"> reduc sau</w:t>
      </w:r>
      <w:r w:rsidR="00FF5E74">
        <w:rPr>
          <w:rFonts w:ascii="Times New Roman" w:hAnsi="Times New Roman" w:cs="Times New Roman"/>
          <w:i/>
          <w:sz w:val="24"/>
          <w:szCs w:val="24"/>
        </w:rPr>
        <w:t xml:space="preserve"> </w:t>
      </w:r>
      <w:r w:rsidR="00F174DC">
        <w:rPr>
          <w:rFonts w:ascii="Times New Roman" w:hAnsi="Times New Roman" w:cs="Times New Roman"/>
          <w:i/>
          <w:sz w:val="24"/>
          <w:szCs w:val="24"/>
        </w:rPr>
        <w:t>evita impozitarea profitului la nivelul real</w:t>
      </w:r>
      <w:r w:rsidR="001228F6">
        <w:rPr>
          <w:rFonts w:ascii="Times New Roman" w:hAnsi="Times New Roman" w:cs="Times New Roman"/>
          <w:i/>
          <w:sz w:val="24"/>
          <w:szCs w:val="24"/>
        </w:rPr>
        <w:t>, si normalizarea acestuia conform realitatii</w:t>
      </w:r>
      <w:r w:rsidR="00F174DC">
        <w:rPr>
          <w:rFonts w:ascii="Times New Roman" w:hAnsi="Times New Roman" w:cs="Times New Roman"/>
          <w:i/>
          <w:sz w:val="24"/>
          <w:szCs w:val="24"/>
        </w:rPr>
        <w:t xml:space="preserve">. </w:t>
      </w:r>
      <w:r w:rsidR="00FF5E74">
        <w:rPr>
          <w:rFonts w:ascii="Times New Roman" w:hAnsi="Times New Roman" w:cs="Times New Roman"/>
          <w:i/>
          <w:sz w:val="24"/>
          <w:szCs w:val="24"/>
        </w:rPr>
        <w:t xml:space="preserve"> </w:t>
      </w:r>
      <w:r w:rsidR="00D004F2" w:rsidRPr="00971494">
        <w:rPr>
          <w:rFonts w:ascii="Times New Roman" w:hAnsi="Times New Roman" w:cs="Times New Roman"/>
          <w:i/>
          <w:sz w:val="24"/>
          <w:szCs w:val="24"/>
        </w:rPr>
        <w:t xml:space="preserve">Daca nu se intelege </w:t>
      </w:r>
      <w:r w:rsidR="00F174DC">
        <w:rPr>
          <w:rFonts w:ascii="Times New Roman" w:hAnsi="Times New Roman" w:cs="Times New Roman"/>
          <w:i/>
          <w:sz w:val="24"/>
          <w:szCs w:val="24"/>
        </w:rPr>
        <w:t xml:space="preserve">si nu se rezolva </w:t>
      </w:r>
      <w:r w:rsidR="00D004F2" w:rsidRPr="00971494">
        <w:rPr>
          <w:rFonts w:ascii="Times New Roman" w:hAnsi="Times New Roman" w:cs="Times New Roman"/>
          <w:i/>
          <w:sz w:val="24"/>
          <w:szCs w:val="24"/>
        </w:rPr>
        <w:t>cauza, se va trata efectul intr-un mod gresit</w:t>
      </w:r>
      <w:r w:rsidR="00D004F2" w:rsidRPr="00971494">
        <w:rPr>
          <w:rFonts w:ascii="Times New Roman" w:hAnsi="Times New Roman" w:cs="Times New Roman"/>
          <w:sz w:val="24"/>
          <w:szCs w:val="24"/>
        </w:rPr>
        <w:t>.</w:t>
      </w:r>
      <w:r w:rsidRPr="00971494">
        <w:rPr>
          <w:rFonts w:ascii="Times New Roman" w:hAnsi="Times New Roman" w:cs="Times New Roman"/>
          <w:sz w:val="24"/>
          <w:szCs w:val="24"/>
        </w:rPr>
        <w:t xml:space="preserve">” – a declarat </w:t>
      </w:r>
      <w:r w:rsidRPr="0004570E">
        <w:rPr>
          <w:rFonts w:ascii="Times New Roman" w:hAnsi="Times New Roman" w:cs="Times New Roman"/>
          <w:b/>
          <w:sz w:val="24"/>
          <w:szCs w:val="24"/>
        </w:rPr>
        <w:t>Iancu Guda, Presedintele AAFBR (Asociatia Analistilor Financiar-Bancari din Romania)</w:t>
      </w:r>
      <w:r w:rsidR="00EE6CDF" w:rsidRPr="0004570E">
        <w:rPr>
          <w:rFonts w:ascii="Times New Roman" w:hAnsi="Times New Roman" w:cs="Times New Roman"/>
          <w:b/>
          <w:sz w:val="24"/>
          <w:szCs w:val="24"/>
        </w:rPr>
        <w:t xml:space="preserve"> si Lector IBR (Institutul Bancar Roman)</w:t>
      </w:r>
    </w:p>
    <w:p w:rsidR="00021305" w:rsidRPr="0004570E" w:rsidRDefault="00021305" w:rsidP="00471808">
      <w:pPr>
        <w:jc w:val="both"/>
        <w:rPr>
          <w:rFonts w:ascii="Times New Roman" w:hAnsi="Times New Roman" w:cs="Times New Roman"/>
          <w:b/>
          <w:sz w:val="24"/>
          <w:szCs w:val="24"/>
        </w:rPr>
      </w:pPr>
    </w:p>
    <w:p w:rsidR="00EE6CDF" w:rsidRPr="00C81EC8" w:rsidRDefault="00EE6CDF" w:rsidP="00EE6CDF">
      <w:pPr>
        <w:jc w:val="both"/>
        <w:rPr>
          <w:rFonts w:ascii="Times New Roman" w:hAnsi="Times New Roman" w:cs="Times New Roman"/>
          <w:b/>
          <w:sz w:val="24"/>
          <w:szCs w:val="24"/>
        </w:rPr>
      </w:pPr>
      <w:r w:rsidRPr="0004570E">
        <w:rPr>
          <w:rFonts w:ascii="Times New Roman" w:hAnsi="Times New Roman" w:cs="Times New Roman"/>
          <w:sz w:val="24"/>
          <w:szCs w:val="24"/>
        </w:rPr>
        <w:t>Autor Studiu Impact</w:t>
      </w:r>
      <w:r w:rsidR="00C81EC8">
        <w:rPr>
          <w:rFonts w:ascii="Times New Roman" w:hAnsi="Times New Roman" w:cs="Times New Roman"/>
          <w:sz w:val="24"/>
          <w:szCs w:val="24"/>
        </w:rPr>
        <w:t xml:space="preserve">  </w:t>
      </w:r>
      <w:r w:rsidR="00C81EC8">
        <w:rPr>
          <w:rFonts w:ascii="Times New Roman" w:hAnsi="Times New Roman" w:cs="Times New Roman"/>
          <w:sz w:val="24"/>
          <w:szCs w:val="24"/>
        </w:rPr>
        <w:tab/>
        <w:t xml:space="preserve">                                                                                              </w:t>
      </w:r>
      <w:r w:rsidR="00C81EC8" w:rsidRPr="00C81EC8">
        <w:rPr>
          <w:rFonts w:ascii="Times New Roman" w:hAnsi="Times New Roman" w:cs="Times New Roman"/>
          <w:b/>
          <w:sz w:val="24"/>
          <w:szCs w:val="24"/>
        </w:rPr>
        <w:t>Data:  3 Iulie 2017</w:t>
      </w:r>
    </w:p>
    <w:p w:rsidR="00EE6CDF" w:rsidRPr="0004570E" w:rsidRDefault="00EE6CDF" w:rsidP="00EE6CDF">
      <w:pPr>
        <w:spacing w:after="0" w:line="240" w:lineRule="auto"/>
        <w:jc w:val="both"/>
        <w:rPr>
          <w:rFonts w:ascii="Times New Roman" w:hAnsi="Times New Roman" w:cs="Times New Roman"/>
          <w:b/>
          <w:sz w:val="24"/>
          <w:szCs w:val="24"/>
        </w:rPr>
      </w:pPr>
      <w:r w:rsidRPr="0004570E">
        <w:rPr>
          <w:rFonts w:ascii="Times New Roman" w:hAnsi="Times New Roman" w:cs="Times New Roman"/>
          <w:b/>
          <w:sz w:val="24"/>
          <w:szCs w:val="24"/>
        </w:rPr>
        <w:t>Iancu Guda</w:t>
      </w:r>
      <w:r w:rsidRPr="0004570E">
        <w:rPr>
          <w:rFonts w:ascii="Times New Roman" w:hAnsi="Times New Roman" w:cs="Times New Roman"/>
          <w:sz w:val="24"/>
          <w:szCs w:val="24"/>
        </w:rPr>
        <w:t xml:space="preserve">, </w:t>
      </w:r>
      <w:r w:rsidRPr="0004570E">
        <w:rPr>
          <w:rFonts w:ascii="Times New Roman" w:hAnsi="Times New Roman" w:cs="Times New Roman"/>
          <w:b/>
          <w:sz w:val="24"/>
          <w:szCs w:val="24"/>
        </w:rPr>
        <w:t>CFA, EMBA</w:t>
      </w:r>
    </w:p>
    <w:p w:rsidR="00EE6CDF" w:rsidRPr="0004570E" w:rsidRDefault="00EE6CDF" w:rsidP="00EE6CDF">
      <w:pPr>
        <w:spacing w:after="0" w:line="240" w:lineRule="auto"/>
        <w:jc w:val="both"/>
        <w:rPr>
          <w:rFonts w:ascii="Times New Roman" w:hAnsi="Times New Roman" w:cs="Times New Roman"/>
          <w:sz w:val="24"/>
          <w:szCs w:val="24"/>
        </w:rPr>
      </w:pPr>
      <w:r w:rsidRPr="0004570E">
        <w:rPr>
          <w:rFonts w:ascii="Times New Roman" w:hAnsi="Times New Roman" w:cs="Times New Roman"/>
          <w:sz w:val="24"/>
          <w:szCs w:val="24"/>
        </w:rPr>
        <w:t>Presedinte AAFBR</w:t>
      </w:r>
    </w:p>
    <w:p w:rsidR="00EE6CDF" w:rsidRPr="0004570E" w:rsidRDefault="00EE6CDF" w:rsidP="00EE6CDF">
      <w:pPr>
        <w:spacing w:after="0" w:line="240" w:lineRule="auto"/>
        <w:jc w:val="both"/>
        <w:rPr>
          <w:rFonts w:ascii="Times New Roman" w:hAnsi="Times New Roman" w:cs="Times New Roman"/>
          <w:sz w:val="24"/>
          <w:szCs w:val="24"/>
        </w:rPr>
      </w:pPr>
      <w:r w:rsidRPr="0004570E">
        <w:rPr>
          <w:rFonts w:ascii="Times New Roman" w:hAnsi="Times New Roman" w:cs="Times New Roman"/>
          <w:sz w:val="24"/>
          <w:szCs w:val="24"/>
        </w:rPr>
        <w:t>Lector IBR</w:t>
      </w:r>
    </w:p>
    <w:p w:rsidR="00EE6CDF" w:rsidRPr="0004570E" w:rsidRDefault="00EE6CDF" w:rsidP="00EE6CDF">
      <w:pPr>
        <w:spacing w:after="0" w:line="240" w:lineRule="auto"/>
        <w:jc w:val="both"/>
        <w:rPr>
          <w:rFonts w:ascii="Times New Roman" w:hAnsi="Times New Roman" w:cs="Times New Roman"/>
          <w:b/>
          <w:sz w:val="24"/>
          <w:szCs w:val="24"/>
        </w:rPr>
      </w:pPr>
    </w:p>
    <w:p w:rsidR="00EE6CDF" w:rsidRPr="00E756AD" w:rsidRDefault="00EE6CDF" w:rsidP="00EE6CDF">
      <w:pPr>
        <w:spacing w:after="0" w:line="240" w:lineRule="auto"/>
        <w:jc w:val="both"/>
        <w:rPr>
          <w:rFonts w:ascii="Times New Roman" w:hAnsi="Times New Roman" w:cs="Times New Roman"/>
          <w:i/>
          <w:sz w:val="24"/>
          <w:szCs w:val="24"/>
        </w:rPr>
      </w:pPr>
      <w:r w:rsidRPr="0004570E">
        <w:rPr>
          <w:rFonts w:ascii="Times New Roman" w:hAnsi="Times New Roman" w:cs="Times New Roman"/>
          <w:b/>
          <w:sz w:val="24"/>
          <w:szCs w:val="24"/>
        </w:rPr>
        <w:t xml:space="preserve">Nota: </w:t>
      </w:r>
      <w:r w:rsidRPr="00E756AD">
        <w:rPr>
          <w:rFonts w:ascii="Times New Roman" w:hAnsi="Times New Roman" w:cs="Times New Roman"/>
          <w:i/>
          <w:sz w:val="24"/>
          <w:szCs w:val="24"/>
        </w:rPr>
        <w:t xml:space="preserve">Concluziile exprimate in acest studiu de impact reprezinta opinia autorului, si nu implica in nici un fel institutiile in care autorul este asociat / implicat.  </w:t>
      </w:r>
    </w:p>
    <w:p w:rsidR="00971494" w:rsidRPr="00E756AD" w:rsidRDefault="00971494" w:rsidP="00971494">
      <w:pPr>
        <w:jc w:val="both"/>
        <w:rPr>
          <w:rFonts w:ascii="Times New Roman" w:hAnsi="Times New Roman" w:cs="Times New Roman"/>
          <w:i/>
          <w:sz w:val="24"/>
          <w:szCs w:val="24"/>
        </w:rPr>
      </w:pPr>
    </w:p>
    <w:p w:rsidR="00971494" w:rsidRPr="00971494" w:rsidRDefault="00971494" w:rsidP="00971494">
      <w:pPr>
        <w:jc w:val="both"/>
        <w:rPr>
          <w:rFonts w:ascii="Times New Roman" w:hAnsi="Times New Roman" w:cs="Times New Roman"/>
          <w:sz w:val="24"/>
          <w:szCs w:val="24"/>
        </w:rPr>
      </w:pPr>
    </w:p>
    <w:sectPr w:rsidR="00971494" w:rsidRPr="00971494" w:rsidSect="00A62F76">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56" w:rsidRDefault="00352956" w:rsidP="00F54A38">
      <w:pPr>
        <w:spacing w:after="0" w:line="240" w:lineRule="auto"/>
      </w:pPr>
      <w:r>
        <w:separator/>
      </w:r>
    </w:p>
  </w:endnote>
  <w:endnote w:type="continuationSeparator" w:id="0">
    <w:p w:rsidR="00352956" w:rsidRDefault="00352956" w:rsidP="00F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56" w:rsidRDefault="00352956" w:rsidP="00F54A38">
      <w:pPr>
        <w:spacing w:after="0" w:line="240" w:lineRule="auto"/>
      </w:pPr>
      <w:r>
        <w:separator/>
      </w:r>
    </w:p>
  </w:footnote>
  <w:footnote w:type="continuationSeparator" w:id="0">
    <w:p w:rsidR="00352956" w:rsidRDefault="00352956" w:rsidP="00F54A38">
      <w:pPr>
        <w:spacing w:after="0" w:line="240" w:lineRule="auto"/>
      </w:pPr>
      <w:r>
        <w:continuationSeparator/>
      </w:r>
    </w:p>
  </w:footnote>
  <w:footnote w:id="1">
    <w:p w:rsidR="00BE2E0A" w:rsidRPr="00F54A38" w:rsidRDefault="00BE2E0A">
      <w:pPr>
        <w:pStyle w:val="FootnoteText"/>
        <w:rPr>
          <w:lang w:val="en-US"/>
        </w:rPr>
      </w:pPr>
      <w:r>
        <w:rPr>
          <w:rStyle w:val="FootnoteReference"/>
        </w:rPr>
        <w:footnoteRef/>
      </w:r>
      <w:r>
        <w:t xml:space="preserve"> </w:t>
      </w:r>
      <w:hyperlink r:id="rId1" w:history="1">
        <w:r w:rsidRPr="00800474">
          <w:rPr>
            <w:rStyle w:val="Hyperlink"/>
          </w:rPr>
          <w:t>http://www.consiliulfiscal.ro/ionut-11-04-2017.pdf</w:t>
        </w:r>
      </w:hyperlink>
      <w:r>
        <w:t xml:space="preserve"> </w:t>
      </w:r>
    </w:p>
  </w:footnote>
  <w:footnote w:id="2">
    <w:p w:rsidR="00BE2E0A" w:rsidRPr="008456C1" w:rsidRDefault="00BE2E0A">
      <w:pPr>
        <w:pStyle w:val="FootnoteText"/>
        <w:rPr>
          <w:lang w:val="en-US"/>
        </w:rPr>
      </w:pPr>
      <w:r>
        <w:rPr>
          <w:rStyle w:val="FootnoteReference"/>
        </w:rPr>
        <w:footnoteRef/>
      </w:r>
      <w:r>
        <w:t xml:space="preserve"> </w:t>
      </w:r>
      <w:proofErr w:type="spellStart"/>
      <w:r>
        <w:rPr>
          <w:lang w:val="en-US"/>
        </w:rPr>
        <w:t>Datele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exercitiul</w:t>
      </w:r>
      <w:proofErr w:type="spellEnd"/>
      <w:r>
        <w:rPr>
          <w:lang w:val="en-US"/>
        </w:rPr>
        <w:t xml:space="preserve"> </w:t>
      </w:r>
      <w:proofErr w:type="spellStart"/>
      <w:r>
        <w:rPr>
          <w:lang w:val="en-US"/>
        </w:rPr>
        <w:t>financiar</w:t>
      </w:r>
      <w:proofErr w:type="spellEnd"/>
      <w:r>
        <w:rPr>
          <w:lang w:val="en-US"/>
        </w:rPr>
        <w:t xml:space="preserve"> 2016 nu </w:t>
      </w:r>
      <w:proofErr w:type="spellStart"/>
      <w:r>
        <w:rPr>
          <w:lang w:val="en-US"/>
        </w:rPr>
        <w:t>sunt</w:t>
      </w:r>
      <w:proofErr w:type="spellEnd"/>
      <w:r>
        <w:rPr>
          <w:lang w:val="en-US"/>
        </w:rPr>
        <w:t xml:space="preserve"> </w:t>
      </w:r>
      <w:proofErr w:type="spellStart"/>
      <w:r>
        <w:rPr>
          <w:lang w:val="en-US"/>
        </w:rPr>
        <w:t>disponibile</w:t>
      </w:r>
      <w:proofErr w:type="spellEnd"/>
      <w:r>
        <w:rPr>
          <w:lang w:val="en-US"/>
        </w:rPr>
        <w:t xml:space="preserve"> in </w:t>
      </w:r>
      <w:proofErr w:type="spellStart"/>
      <w:r>
        <w:rPr>
          <w:lang w:val="en-US"/>
        </w:rPr>
        <w:t>momentul</w:t>
      </w:r>
      <w:proofErr w:type="spellEnd"/>
      <w:r>
        <w:rPr>
          <w:lang w:val="en-US"/>
        </w:rPr>
        <w:t xml:space="preserve"> de fata </w:t>
      </w:r>
      <w:proofErr w:type="spellStart"/>
      <w:r>
        <w:rPr>
          <w:lang w:val="en-US"/>
        </w:rPr>
        <w:t>pentru</w:t>
      </w:r>
      <w:proofErr w:type="spellEnd"/>
      <w:r>
        <w:rPr>
          <w:lang w:val="en-US"/>
        </w:rPr>
        <w:t xml:space="preserve"> </w:t>
      </w:r>
      <w:proofErr w:type="spellStart"/>
      <w:r>
        <w:rPr>
          <w:lang w:val="en-US"/>
        </w:rPr>
        <w:t>toate</w:t>
      </w:r>
      <w:proofErr w:type="spellEnd"/>
      <w:r>
        <w:rPr>
          <w:lang w:val="en-US"/>
        </w:rPr>
        <w:t xml:space="preserve"> </w:t>
      </w:r>
      <w:proofErr w:type="spellStart"/>
      <w:r>
        <w:rPr>
          <w:lang w:val="en-US"/>
        </w:rPr>
        <w:t>companiile</w:t>
      </w:r>
      <w:proofErr w:type="spellEnd"/>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66E"/>
    <w:multiLevelType w:val="hybridMultilevel"/>
    <w:tmpl w:val="AF968DB2"/>
    <w:lvl w:ilvl="0" w:tplc="A6C44490">
      <w:start w:val="2"/>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05310C5"/>
    <w:multiLevelType w:val="hybridMultilevel"/>
    <w:tmpl w:val="F7DEBC42"/>
    <w:lvl w:ilvl="0" w:tplc="B00AE90C">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A672E5D"/>
    <w:multiLevelType w:val="hybridMultilevel"/>
    <w:tmpl w:val="FECCA71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E0C0602"/>
    <w:multiLevelType w:val="hybridMultilevel"/>
    <w:tmpl w:val="3D58A7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C7"/>
    <w:rsid w:val="00021305"/>
    <w:rsid w:val="0004570E"/>
    <w:rsid w:val="00065329"/>
    <w:rsid w:val="000E183C"/>
    <w:rsid w:val="00111339"/>
    <w:rsid w:val="001228F6"/>
    <w:rsid w:val="00131E28"/>
    <w:rsid w:val="00136A38"/>
    <w:rsid w:val="001604F3"/>
    <w:rsid w:val="00172DDD"/>
    <w:rsid w:val="00187E52"/>
    <w:rsid w:val="00191C5C"/>
    <w:rsid w:val="001F1875"/>
    <w:rsid w:val="00205C70"/>
    <w:rsid w:val="00215D91"/>
    <w:rsid w:val="00220DB0"/>
    <w:rsid w:val="00226C22"/>
    <w:rsid w:val="002366FA"/>
    <w:rsid w:val="002635E3"/>
    <w:rsid w:val="00293E40"/>
    <w:rsid w:val="002B0963"/>
    <w:rsid w:val="002C447B"/>
    <w:rsid w:val="003027A0"/>
    <w:rsid w:val="003038F3"/>
    <w:rsid w:val="00316EF0"/>
    <w:rsid w:val="00352956"/>
    <w:rsid w:val="003D0545"/>
    <w:rsid w:val="003E4CA8"/>
    <w:rsid w:val="00426194"/>
    <w:rsid w:val="004373A4"/>
    <w:rsid w:val="00471808"/>
    <w:rsid w:val="004A6091"/>
    <w:rsid w:val="004F61E7"/>
    <w:rsid w:val="005222F8"/>
    <w:rsid w:val="00582864"/>
    <w:rsid w:val="005A10D9"/>
    <w:rsid w:val="005A20E7"/>
    <w:rsid w:val="005B1950"/>
    <w:rsid w:val="005C7ABC"/>
    <w:rsid w:val="0061474F"/>
    <w:rsid w:val="00616CA4"/>
    <w:rsid w:val="00625AC0"/>
    <w:rsid w:val="0062645F"/>
    <w:rsid w:val="006700DF"/>
    <w:rsid w:val="006F72E5"/>
    <w:rsid w:val="00715E44"/>
    <w:rsid w:val="007378B3"/>
    <w:rsid w:val="007379A4"/>
    <w:rsid w:val="007535C0"/>
    <w:rsid w:val="007670DE"/>
    <w:rsid w:val="00775152"/>
    <w:rsid w:val="00794B79"/>
    <w:rsid w:val="007D17AF"/>
    <w:rsid w:val="00830D32"/>
    <w:rsid w:val="00844837"/>
    <w:rsid w:val="008456C1"/>
    <w:rsid w:val="00853DC9"/>
    <w:rsid w:val="008967B8"/>
    <w:rsid w:val="008A5A39"/>
    <w:rsid w:val="008B40D6"/>
    <w:rsid w:val="008C4981"/>
    <w:rsid w:val="00913C3F"/>
    <w:rsid w:val="00930C8D"/>
    <w:rsid w:val="0095662A"/>
    <w:rsid w:val="009676B5"/>
    <w:rsid w:val="00971494"/>
    <w:rsid w:val="00983AE2"/>
    <w:rsid w:val="009965E8"/>
    <w:rsid w:val="00A006A1"/>
    <w:rsid w:val="00A03088"/>
    <w:rsid w:val="00A051C7"/>
    <w:rsid w:val="00A07F6F"/>
    <w:rsid w:val="00A157EB"/>
    <w:rsid w:val="00A32989"/>
    <w:rsid w:val="00A47298"/>
    <w:rsid w:val="00A61181"/>
    <w:rsid w:val="00A62F76"/>
    <w:rsid w:val="00A705A1"/>
    <w:rsid w:val="00A74530"/>
    <w:rsid w:val="00A83CE8"/>
    <w:rsid w:val="00AC1E14"/>
    <w:rsid w:val="00AD0997"/>
    <w:rsid w:val="00B009F0"/>
    <w:rsid w:val="00B72858"/>
    <w:rsid w:val="00B945EC"/>
    <w:rsid w:val="00BE2E0A"/>
    <w:rsid w:val="00BE3079"/>
    <w:rsid w:val="00C22E66"/>
    <w:rsid w:val="00C47049"/>
    <w:rsid w:val="00C71C4C"/>
    <w:rsid w:val="00C81EC8"/>
    <w:rsid w:val="00D004F2"/>
    <w:rsid w:val="00D00694"/>
    <w:rsid w:val="00D12CF7"/>
    <w:rsid w:val="00D21828"/>
    <w:rsid w:val="00D47801"/>
    <w:rsid w:val="00D82C0F"/>
    <w:rsid w:val="00D84B0F"/>
    <w:rsid w:val="00DE4749"/>
    <w:rsid w:val="00DF3121"/>
    <w:rsid w:val="00E55139"/>
    <w:rsid w:val="00E756AD"/>
    <w:rsid w:val="00E80C33"/>
    <w:rsid w:val="00E94B90"/>
    <w:rsid w:val="00EB7A0A"/>
    <w:rsid w:val="00EE474B"/>
    <w:rsid w:val="00EE6CDF"/>
    <w:rsid w:val="00EF3553"/>
    <w:rsid w:val="00F0716D"/>
    <w:rsid w:val="00F174DC"/>
    <w:rsid w:val="00F54A38"/>
    <w:rsid w:val="00F82DD6"/>
    <w:rsid w:val="00F9705E"/>
    <w:rsid w:val="00F97D94"/>
    <w:rsid w:val="00FE74B2"/>
    <w:rsid w:val="00FF5E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989"/>
    <w:pPr>
      <w:ind w:left="720"/>
      <w:contextualSpacing/>
    </w:pPr>
  </w:style>
  <w:style w:type="character" w:styleId="Strong">
    <w:name w:val="Strong"/>
    <w:basedOn w:val="DefaultParagraphFont"/>
    <w:uiPriority w:val="22"/>
    <w:qFormat/>
    <w:rsid w:val="004373A4"/>
    <w:rPr>
      <w:b/>
      <w:bCs/>
    </w:rPr>
  </w:style>
  <w:style w:type="paragraph" w:styleId="FootnoteText">
    <w:name w:val="footnote text"/>
    <w:basedOn w:val="Normal"/>
    <w:link w:val="FootnoteTextChar"/>
    <w:uiPriority w:val="99"/>
    <w:semiHidden/>
    <w:unhideWhenUsed/>
    <w:rsid w:val="00F54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A38"/>
    <w:rPr>
      <w:sz w:val="20"/>
      <w:szCs w:val="20"/>
    </w:rPr>
  </w:style>
  <w:style w:type="character" w:styleId="FootnoteReference">
    <w:name w:val="footnote reference"/>
    <w:basedOn w:val="DefaultParagraphFont"/>
    <w:uiPriority w:val="99"/>
    <w:semiHidden/>
    <w:unhideWhenUsed/>
    <w:rsid w:val="00F54A38"/>
    <w:rPr>
      <w:vertAlign w:val="superscript"/>
    </w:rPr>
  </w:style>
  <w:style w:type="character" w:styleId="Hyperlink">
    <w:name w:val="Hyperlink"/>
    <w:basedOn w:val="DefaultParagraphFont"/>
    <w:uiPriority w:val="99"/>
    <w:unhideWhenUsed/>
    <w:rsid w:val="00F54A38"/>
    <w:rPr>
      <w:color w:val="0000FF" w:themeColor="hyperlink"/>
      <w:u w:val="single"/>
    </w:rPr>
  </w:style>
  <w:style w:type="paragraph" w:styleId="BalloonText">
    <w:name w:val="Balloon Text"/>
    <w:basedOn w:val="Normal"/>
    <w:link w:val="BalloonTextChar"/>
    <w:uiPriority w:val="99"/>
    <w:semiHidden/>
    <w:unhideWhenUsed/>
    <w:rsid w:val="008B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989"/>
    <w:pPr>
      <w:ind w:left="720"/>
      <w:contextualSpacing/>
    </w:pPr>
  </w:style>
  <w:style w:type="character" w:styleId="Strong">
    <w:name w:val="Strong"/>
    <w:basedOn w:val="DefaultParagraphFont"/>
    <w:uiPriority w:val="22"/>
    <w:qFormat/>
    <w:rsid w:val="004373A4"/>
    <w:rPr>
      <w:b/>
      <w:bCs/>
    </w:rPr>
  </w:style>
  <w:style w:type="paragraph" w:styleId="FootnoteText">
    <w:name w:val="footnote text"/>
    <w:basedOn w:val="Normal"/>
    <w:link w:val="FootnoteTextChar"/>
    <w:uiPriority w:val="99"/>
    <w:semiHidden/>
    <w:unhideWhenUsed/>
    <w:rsid w:val="00F54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A38"/>
    <w:rPr>
      <w:sz w:val="20"/>
      <w:szCs w:val="20"/>
    </w:rPr>
  </w:style>
  <w:style w:type="character" w:styleId="FootnoteReference">
    <w:name w:val="footnote reference"/>
    <w:basedOn w:val="DefaultParagraphFont"/>
    <w:uiPriority w:val="99"/>
    <w:semiHidden/>
    <w:unhideWhenUsed/>
    <w:rsid w:val="00F54A38"/>
    <w:rPr>
      <w:vertAlign w:val="superscript"/>
    </w:rPr>
  </w:style>
  <w:style w:type="character" w:styleId="Hyperlink">
    <w:name w:val="Hyperlink"/>
    <w:basedOn w:val="DefaultParagraphFont"/>
    <w:uiPriority w:val="99"/>
    <w:unhideWhenUsed/>
    <w:rsid w:val="00F54A38"/>
    <w:rPr>
      <w:color w:val="0000FF" w:themeColor="hyperlink"/>
      <w:u w:val="single"/>
    </w:rPr>
  </w:style>
  <w:style w:type="paragraph" w:styleId="BalloonText">
    <w:name w:val="Balloon Text"/>
    <w:basedOn w:val="Normal"/>
    <w:link w:val="BalloonTextChar"/>
    <w:uiPriority w:val="99"/>
    <w:semiHidden/>
    <w:unhideWhenUsed/>
    <w:rsid w:val="008B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3598">
      <w:bodyDiv w:val="1"/>
      <w:marLeft w:val="0"/>
      <w:marRight w:val="0"/>
      <w:marTop w:val="0"/>
      <w:marBottom w:val="0"/>
      <w:divBdr>
        <w:top w:val="none" w:sz="0" w:space="0" w:color="auto"/>
        <w:left w:val="none" w:sz="0" w:space="0" w:color="auto"/>
        <w:bottom w:val="none" w:sz="0" w:space="0" w:color="auto"/>
        <w:right w:val="none" w:sz="0" w:space="0" w:color="auto"/>
      </w:divBdr>
    </w:div>
    <w:div w:id="668291586">
      <w:bodyDiv w:val="1"/>
      <w:marLeft w:val="0"/>
      <w:marRight w:val="0"/>
      <w:marTop w:val="0"/>
      <w:marBottom w:val="0"/>
      <w:divBdr>
        <w:top w:val="none" w:sz="0" w:space="0" w:color="auto"/>
        <w:left w:val="none" w:sz="0" w:space="0" w:color="auto"/>
        <w:bottom w:val="none" w:sz="0" w:space="0" w:color="auto"/>
        <w:right w:val="none" w:sz="0" w:space="0" w:color="auto"/>
      </w:divBdr>
    </w:div>
    <w:div w:id="726957817">
      <w:bodyDiv w:val="1"/>
      <w:marLeft w:val="0"/>
      <w:marRight w:val="0"/>
      <w:marTop w:val="0"/>
      <w:marBottom w:val="0"/>
      <w:divBdr>
        <w:top w:val="none" w:sz="0" w:space="0" w:color="auto"/>
        <w:left w:val="none" w:sz="0" w:space="0" w:color="auto"/>
        <w:bottom w:val="none" w:sz="0" w:space="0" w:color="auto"/>
        <w:right w:val="none" w:sz="0" w:space="0" w:color="auto"/>
      </w:divBdr>
    </w:div>
    <w:div w:id="797259876">
      <w:bodyDiv w:val="1"/>
      <w:marLeft w:val="0"/>
      <w:marRight w:val="0"/>
      <w:marTop w:val="0"/>
      <w:marBottom w:val="0"/>
      <w:divBdr>
        <w:top w:val="none" w:sz="0" w:space="0" w:color="auto"/>
        <w:left w:val="none" w:sz="0" w:space="0" w:color="auto"/>
        <w:bottom w:val="none" w:sz="0" w:space="0" w:color="auto"/>
        <w:right w:val="none" w:sz="0" w:space="0" w:color="auto"/>
      </w:divBdr>
    </w:div>
    <w:div w:id="1023361644">
      <w:bodyDiv w:val="1"/>
      <w:marLeft w:val="0"/>
      <w:marRight w:val="0"/>
      <w:marTop w:val="0"/>
      <w:marBottom w:val="0"/>
      <w:divBdr>
        <w:top w:val="none" w:sz="0" w:space="0" w:color="auto"/>
        <w:left w:val="none" w:sz="0" w:space="0" w:color="auto"/>
        <w:bottom w:val="none" w:sz="0" w:space="0" w:color="auto"/>
        <w:right w:val="none" w:sz="0" w:space="0" w:color="auto"/>
      </w:divBdr>
    </w:div>
    <w:div w:id="1077871551">
      <w:bodyDiv w:val="1"/>
      <w:marLeft w:val="0"/>
      <w:marRight w:val="0"/>
      <w:marTop w:val="0"/>
      <w:marBottom w:val="0"/>
      <w:divBdr>
        <w:top w:val="none" w:sz="0" w:space="0" w:color="auto"/>
        <w:left w:val="none" w:sz="0" w:space="0" w:color="auto"/>
        <w:bottom w:val="none" w:sz="0" w:space="0" w:color="auto"/>
        <w:right w:val="none" w:sz="0" w:space="0" w:color="auto"/>
      </w:divBdr>
    </w:div>
    <w:div w:id="1245845399">
      <w:bodyDiv w:val="1"/>
      <w:marLeft w:val="0"/>
      <w:marRight w:val="0"/>
      <w:marTop w:val="0"/>
      <w:marBottom w:val="0"/>
      <w:divBdr>
        <w:top w:val="none" w:sz="0" w:space="0" w:color="auto"/>
        <w:left w:val="none" w:sz="0" w:space="0" w:color="auto"/>
        <w:bottom w:val="none" w:sz="0" w:space="0" w:color="auto"/>
        <w:right w:val="none" w:sz="0" w:space="0" w:color="auto"/>
      </w:divBdr>
    </w:div>
    <w:div w:id="1315526319">
      <w:bodyDiv w:val="1"/>
      <w:marLeft w:val="0"/>
      <w:marRight w:val="0"/>
      <w:marTop w:val="0"/>
      <w:marBottom w:val="0"/>
      <w:divBdr>
        <w:top w:val="none" w:sz="0" w:space="0" w:color="auto"/>
        <w:left w:val="none" w:sz="0" w:space="0" w:color="auto"/>
        <w:bottom w:val="none" w:sz="0" w:space="0" w:color="auto"/>
        <w:right w:val="none" w:sz="0" w:space="0" w:color="auto"/>
      </w:divBdr>
    </w:div>
    <w:div w:id="1414863540">
      <w:bodyDiv w:val="1"/>
      <w:marLeft w:val="0"/>
      <w:marRight w:val="0"/>
      <w:marTop w:val="0"/>
      <w:marBottom w:val="0"/>
      <w:divBdr>
        <w:top w:val="none" w:sz="0" w:space="0" w:color="auto"/>
        <w:left w:val="none" w:sz="0" w:space="0" w:color="auto"/>
        <w:bottom w:val="none" w:sz="0" w:space="0" w:color="auto"/>
        <w:right w:val="none" w:sz="0" w:space="0" w:color="auto"/>
      </w:divBdr>
    </w:div>
    <w:div w:id="1424109498">
      <w:bodyDiv w:val="1"/>
      <w:marLeft w:val="0"/>
      <w:marRight w:val="0"/>
      <w:marTop w:val="0"/>
      <w:marBottom w:val="0"/>
      <w:divBdr>
        <w:top w:val="none" w:sz="0" w:space="0" w:color="auto"/>
        <w:left w:val="none" w:sz="0" w:space="0" w:color="auto"/>
        <w:bottom w:val="none" w:sz="0" w:space="0" w:color="auto"/>
        <w:right w:val="none" w:sz="0" w:space="0" w:color="auto"/>
      </w:divBdr>
    </w:div>
    <w:div w:id="15844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lfiscal.ro/ionut-11-04-201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IZA_MACRO\PREZENTARI\20_Polarizare\POLARIZARE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71085705632949"/>
          <c:y val="4.6776729559748417E-2"/>
          <c:w val="0.46594551282051283"/>
          <c:h val="0.91430817610062898"/>
        </c:manualLayout>
      </c:layout>
      <c:pieChart>
        <c:varyColors val="1"/>
        <c:ser>
          <c:idx val="0"/>
          <c:order val="0"/>
          <c:dLbls>
            <c:dLbl>
              <c:idx val="0"/>
              <c:spPr/>
              <c:txPr>
                <a:bodyPr/>
                <a:lstStyle/>
                <a:p>
                  <a:pPr>
                    <a:defRPr sz="800">
                      <a:solidFill>
                        <a:schemeClr val="bg1"/>
                      </a:solidFill>
                    </a:defRPr>
                  </a:pPr>
                  <a:endParaRPr lang="ro-RO"/>
                </a:p>
              </c:txPr>
              <c:showLegendKey val="0"/>
              <c:showVal val="1"/>
              <c:showCatName val="0"/>
              <c:showSerName val="0"/>
              <c:showPercent val="0"/>
              <c:showBubbleSize val="0"/>
            </c:dLbl>
            <c:dLbl>
              <c:idx val="7"/>
              <c:layout>
                <c:manualLayout>
                  <c:x val="7.3874735009085396E-2"/>
                  <c:y val="0.1527658099341356"/>
                </c:manualLayout>
              </c:layout>
              <c:spPr/>
              <c:txPr>
                <a:bodyPr/>
                <a:lstStyle/>
                <a:p>
                  <a:pPr>
                    <a:defRPr sz="800">
                      <a:solidFill>
                        <a:schemeClr val="bg1"/>
                      </a:solidFill>
                    </a:defRPr>
                  </a:pPr>
                  <a:endParaRPr lang="ro-RO"/>
                </a:p>
              </c:txPr>
              <c:showLegendKey val="0"/>
              <c:showVal val="1"/>
              <c:showCatName val="0"/>
              <c:showSerName val="0"/>
              <c:showPercent val="0"/>
              <c:showBubbleSize val="0"/>
            </c:dLbl>
            <c:dLbl>
              <c:idx val="8"/>
              <c:layout>
                <c:manualLayout>
                  <c:x val="7.3321093276801932E-2"/>
                  <c:y val="8.8177214876442325E-2"/>
                </c:manualLayout>
              </c:layout>
              <c:showLegendKey val="0"/>
              <c:showVal val="1"/>
              <c:showCatName val="0"/>
              <c:showSerName val="0"/>
              <c:showPercent val="0"/>
              <c:showBubbleSize val="0"/>
            </c:dLbl>
            <c:dLbl>
              <c:idx val="9"/>
              <c:layout>
                <c:manualLayout>
                  <c:x val="7.395202402584293E-2"/>
                  <c:y val="7.2200762640518987E-2"/>
                </c:manualLayout>
              </c:layout>
              <c:showLegendKey val="0"/>
              <c:showVal val="1"/>
              <c:showCatName val="0"/>
              <c:showSerName val="0"/>
              <c:showPercent val="0"/>
              <c:showBubbleSize val="0"/>
            </c:dLbl>
            <c:dLbl>
              <c:idx val="10"/>
              <c:delete val="1"/>
            </c:dLbl>
            <c:txPr>
              <a:bodyPr/>
              <a:lstStyle/>
              <a:p>
                <a:pPr>
                  <a:defRPr sz="800"/>
                </a:pPr>
                <a:endParaRPr lang="ro-RO"/>
              </a:p>
            </c:txPr>
            <c:showLegendKey val="0"/>
            <c:showVal val="1"/>
            <c:showCatName val="0"/>
            <c:showSerName val="0"/>
            <c:showPercent val="0"/>
            <c:showBubbleSize val="0"/>
            <c:showLeaderLines val="1"/>
          </c:dLbls>
          <c:cat>
            <c:strRef>
              <c:f>'TOP(1000) Actionariat'!$A$2:$A$13</c:f>
              <c:strCache>
                <c:ptCount val="12"/>
                <c:pt idx="0">
                  <c:v>ROMANIA</c:v>
                </c:pt>
                <c:pt idx="1">
                  <c:v>OLANDA</c:v>
                </c:pt>
                <c:pt idx="2">
                  <c:v>GERMANIA</c:v>
                </c:pt>
                <c:pt idx="3">
                  <c:v>FRANTA</c:v>
                </c:pt>
                <c:pt idx="4">
                  <c:v>CIPRU</c:v>
                </c:pt>
                <c:pt idx="5">
                  <c:v>AUSTRIA</c:v>
                </c:pt>
                <c:pt idx="6">
                  <c:v>ITALIA</c:v>
                </c:pt>
                <c:pt idx="7">
                  <c:v>ELVETIA</c:v>
                </c:pt>
                <c:pt idx="8">
                  <c:v>LUXEMBURG</c:v>
                </c:pt>
                <c:pt idx="9">
                  <c:v>UK</c:v>
                </c:pt>
                <c:pt idx="10">
                  <c:v>S.U.A.</c:v>
                </c:pt>
                <c:pt idx="11">
                  <c:v>Alte tari</c:v>
                </c:pt>
              </c:strCache>
            </c:strRef>
          </c:cat>
          <c:val>
            <c:numRef>
              <c:f>'TOP(1000) Actionariat'!$C$2:$C$13</c:f>
              <c:numCache>
                <c:formatCode>0%</c:formatCode>
                <c:ptCount val="12"/>
                <c:pt idx="0">
                  <c:v>0.35891647855530473</c:v>
                </c:pt>
                <c:pt idx="1">
                  <c:v>0.11888638073739653</c:v>
                </c:pt>
                <c:pt idx="2">
                  <c:v>9.6313017306245294E-2</c:v>
                </c:pt>
                <c:pt idx="3">
                  <c:v>6.0948081264108354E-2</c:v>
                </c:pt>
                <c:pt idx="4">
                  <c:v>5.4176072234762979E-2</c:v>
                </c:pt>
                <c:pt idx="5">
                  <c:v>4.9661399548532728E-2</c:v>
                </c:pt>
                <c:pt idx="6">
                  <c:v>4.6651617757712566E-2</c:v>
                </c:pt>
                <c:pt idx="7">
                  <c:v>3.6117381489841983E-2</c:v>
                </c:pt>
                <c:pt idx="8">
                  <c:v>2.2573363431151242E-2</c:v>
                </c:pt>
                <c:pt idx="9">
                  <c:v>2.2573363431151242E-2</c:v>
                </c:pt>
                <c:pt idx="10">
                  <c:v>1.9563581640331076E-2</c:v>
                </c:pt>
                <c:pt idx="11">
                  <c:v>0.11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844418786593982"/>
          <c:y val="2.3936512652899516E-2"/>
          <c:w val="0.34642703916818091"/>
          <c:h val="0.92749343832021003"/>
        </c:manualLayout>
      </c:layout>
      <c:overlay val="0"/>
      <c:txPr>
        <a:bodyPr/>
        <a:lstStyle/>
        <a:p>
          <a:pPr>
            <a:defRPr sz="800"/>
          </a:pPr>
          <a:endParaRPr lang="ro-RO"/>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51B1-C6FC-42A9-B36F-4A93CF04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8</Pages>
  <Words>3610</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Coface SA</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GUDA Iancu</dc:creator>
  <cp:keywords/>
  <dc:description/>
  <cp:lastModifiedBy>GUDA Iancu</cp:lastModifiedBy>
  <cp:revision>135</cp:revision>
  <dcterms:created xsi:type="dcterms:W3CDTF">2017-07-02T09:29:00Z</dcterms:created>
  <dcterms:modified xsi:type="dcterms:W3CDTF">2017-07-03T04:48:00Z</dcterms:modified>
</cp:coreProperties>
</file>